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08C89" w14:textId="319C2D85" w:rsidR="003C0C1E" w:rsidRPr="00DF7495" w:rsidRDefault="003C0C1E" w:rsidP="007F45E3">
      <w:pPr>
        <w:jc w:val="center"/>
        <w:rPr>
          <w:b/>
          <w:lang w:val="es-CO"/>
        </w:rPr>
      </w:pPr>
      <w:r w:rsidRPr="00DF7495">
        <w:rPr>
          <w:b/>
          <w:lang w:val="es-CO"/>
        </w:rPr>
        <w:t>PARTE II</w:t>
      </w:r>
    </w:p>
    <w:p w14:paraId="71508C8A" w14:textId="77777777" w:rsidR="003C0C1E" w:rsidRPr="00DF7495" w:rsidRDefault="003C0C1E" w:rsidP="007F45E3">
      <w:pPr>
        <w:jc w:val="center"/>
        <w:rPr>
          <w:b/>
          <w:lang w:val="es-CO"/>
        </w:rPr>
      </w:pPr>
      <w:r w:rsidRPr="00DF7495">
        <w:rPr>
          <w:b/>
          <w:lang w:val="es-CO"/>
        </w:rPr>
        <w:t>MERCADO INTERMEDIADO</w:t>
      </w:r>
    </w:p>
    <w:p w14:paraId="71508C8B" w14:textId="77777777" w:rsidR="003C0C1E" w:rsidRPr="00DF7495" w:rsidRDefault="003C0C1E" w:rsidP="007F45E3">
      <w:pPr>
        <w:jc w:val="center"/>
        <w:rPr>
          <w:b/>
          <w:lang w:val="es-CO"/>
        </w:rPr>
      </w:pPr>
    </w:p>
    <w:p w14:paraId="71508C8C" w14:textId="77777777" w:rsidR="003C0C1E" w:rsidRPr="00DF7495" w:rsidRDefault="003C0C1E" w:rsidP="007F45E3">
      <w:pPr>
        <w:jc w:val="center"/>
        <w:rPr>
          <w:b/>
          <w:lang w:val="es-CO"/>
        </w:rPr>
      </w:pPr>
      <w:r w:rsidRPr="00DF7495">
        <w:rPr>
          <w:b/>
          <w:lang w:val="es-CO"/>
        </w:rPr>
        <w:t>TÍTULO III</w:t>
      </w:r>
    </w:p>
    <w:p w14:paraId="71508C8D" w14:textId="77777777" w:rsidR="003C0C1E" w:rsidRPr="00DF7495" w:rsidRDefault="002652F2" w:rsidP="007F45E3">
      <w:pPr>
        <w:jc w:val="center"/>
        <w:rPr>
          <w:b/>
          <w:lang w:val="es-CO"/>
        </w:rPr>
      </w:pPr>
      <w:r w:rsidRPr="00DF7495">
        <w:rPr>
          <w:b/>
          <w:lang w:val="es-CO"/>
        </w:rPr>
        <w:t xml:space="preserve">INSTRUCCIONES GENERALES RELATIVAS A </w:t>
      </w:r>
      <w:r w:rsidR="00E412C1" w:rsidRPr="00DF7495">
        <w:rPr>
          <w:b/>
          <w:lang w:val="es-CO"/>
        </w:rPr>
        <w:t xml:space="preserve">LAS OPERACIONES DE </w:t>
      </w:r>
      <w:r w:rsidRPr="00DF7495">
        <w:rPr>
          <w:b/>
          <w:lang w:val="es-CO"/>
        </w:rPr>
        <w:t xml:space="preserve">LAS </w:t>
      </w:r>
      <w:r w:rsidR="003C0C1E" w:rsidRPr="00DF7495">
        <w:rPr>
          <w:b/>
          <w:lang w:val="es-CO"/>
        </w:rPr>
        <w:t>ENTIDADES ADMINISTRADORAS DE PENSIONES Y CESANTÍAS</w:t>
      </w:r>
    </w:p>
    <w:p w14:paraId="71508C8E" w14:textId="77777777" w:rsidR="003C0C1E" w:rsidRPr="00DF7495" w:rsidRDefault="003C0C1E" w:rsidP="007F45E3">
      <w:pPr>
        <w:jc w:val="center"/>
        <w:rPr>
          <w:b/>
          <w:lang w:val="es-CO"/>
        </w:rPr>
      </w:pPr>
    </w:p>
    <w:p w14:paraId="627F36EE" w14:textId="77777777" w:rsidR="00EA5961" w:rsidRPr="00DF7495" w:rsidRDefault="00EA5961" w:rsidP="007C1418">
      <w:pPr>
        <w:pBdr>
          <w:left w:val="single" w:sz="4" w:space="1" w:color="auto"/>
        </w:pBdr>
        <w:jc w:val="center"/>
        <w:rPr>
          <w:b/>
          <w:lang w:val="es-CO"/>
        </w:rPr>
      </w:pPr>
      <w:r w:rsidRPr="00DF7495">
        <w:rPr>
          <w:b/>
          <w:lang w:val="es-CO"/>
        </w:rPr>
        <w:t>CAPÍTULO VI: FONDOS VOLUNTARIOS DE PENSION – FVP.</w:t>
      </w:r>
    </w:p>
    <w:p w14:paraId="6D18D225" w14:textId="77777777" w:rsidR="00EA5961" w:rsidRPr="00DF7495" w:rsidRDefault="00EA5961" w:rsidP="00DE25BB">
      <w:pPr>
        <w:rPr>
          <w:b/>
          <w:bCs/>
          <w:highlight w:val="yellow"/>
          <w:lang w:val="es-CO" w:eastAsia="es-ES"/>
        </w:rPr>
      </w:pPr>
    </w:p>
    <w:p w14:paraId="28CA64F5" w14:textId="77777777" w:rsidR="00756470" w:rsidRPr="00DF7495" w:rsidRDefault="00756470" w:rsidP="00DE25BB">
      <w:pPr>
        <w:rPr>
          <w:b/>
          <w:bCs/>
          <w:lang w:val="es-CO" w:eastAsia="es-ES"/>
        </w:rPr>
      </w:pPr>
    </w:p>
    <w:p w14:paraId="6E72D95E" w14:textId="2F092902" w:rsidR="00605792" w:rsidRPr="00DF7495" w:rsidRDefault="00CF219D" w:rsidP="007C1418">
      <w:pPr>
        <w:pStyle w:val="TDC1"/>
        <w:pBdr>
          <w:left w:val="single" w:sz="4" w:space="1" w:color="auto"/>
        </w:pBdr>
        <w:rPr>
          <w:lang w:val="es-CO"/>
        </w:rPr>
      </w:pPr>
      <w:r w:rsidRPr="00DF7495">
        <w:rPr>
          <w:lang w:val="es-CO"/>
        </w:rPr>
        <w:t xml:space="preserve">1. </w:t>
      </w:r>
      <w:r w:rsidR="00EC1DFD" w:rsidRPr="00DF7495">
        <w:rPr>
          <w:lang w:val="es-CO"/>
        </w:rPr>
        <w:t>CONSIDERACIONES GENERALES</w:t>
      </w:r>
    </w:p>
    <w:p w14:paraId="437BE30C" w14:textId="77777777" w:rsidR="00756470" w:rsidRPr="00DF7495" w:rsidRDefault="00756470" w:rsidP="007C1418">
      <w:pPr>
        <w:pBdr>
          <w:left w:val="single" w:sz="4" w:space="1" w:color="auto"/>
        </w:pBdr>
        <w:rPr>
          <w:lang w:val="es-CO"/>
        </w:rPr>
      </w:pPr>
    </w:p>
    <w:p w14:paraId="4841E3C8" w14:textId="39B06E60" w:rsidR="00597F46" w:rsidRPr="00DF7495" w:rsidRDefault="00605792" w:rsidP="007C1418">
      <w:pPr>
        <w:pBdr>
          <w:left w:val="single" w:sz="4" w:space="1" w:color="auto"/>
        </w:pBdr>
        <w:rPr>
          <w:b/>
          <w:bCs/>
          <w:lang w:val="es-CO"/>
        </w:rPr>
      </w:pPr>
      <w:r w:rsidRPr="00DF7495">
        <w:rPr>
          <w:b/>
          <w:bCs/>
          <w:lang w:val="es-CO"/>
        </w:rPr>
        <w:t>2. REQUISITOS APLIC</w:t>
      </w:r>
      <w:r w:rsidR="006E1D9A" w:rsidRPr="00DF7495">
        <w:rPr>
          <w:b/>
          <w:bCs/>
          <w:lang w:val="es-CO"/>
        </w:rPr>
        <w:t>ABLES A LAS SOCIEDADES ADMINISTRADORAS DE FVP</w:t>
      </w:r>
    </w:p>
    <w:p w14:paraId="467EC83D" w14:textId="6872FB28" w:rsidR="009B46E1" w:rsidRPr="00DF7495" w:rsidRDefault="006E1D9A" w:rsidP="007C1418">
      <w:pPr>
        <w:pBdr>
          <w:left w:val="single" w:sz="4" w:space="1" w:color="auto"/>
        </w:pBdr>
        <w:rPr>
          <w:lang w:val="es-CO"/>
        </w:rPr>
      </w:pPr>
      <w:r w:rsidRPr="00DF7495">
        <w:rPr>
          <w:lang w:val="es-CO"/>
        </w:rPr>
        <w:t>2.1. Infraestructura administrativa, operativa y humana</w:t>
      </w:r>
    </w:p>
    <w:p w14:paraId="69A1E1C6" w14:textId="4A0474E9" w:rsidR="006E1D9A" w:rsidRPr="00DF7495" w:rsidRDefault="006E1D9A" w:rsidP="007C1418">
      <w:pPr>
        <w:pBdr>
          <w:left w:val="single" w:sz="4" w:space="1" w:color="auto"/>
        </w:pBdr>
        <w:rPr>
          <w:lang w:val="es-CO"/>
        </w:rPr>
      </w:pPr>
      <w:r w:rsidRPr="00DF7495">
        <w:rPr>
          <w:lang w:val="es-CO"/>
        </w:rPr>
        <w:t>2.2. Infraestructura tecnológica y operativa suficiente para administrar el respectivo FVP</w:t>
      </w:r>
    </w:p>
    <w:p w14:paraId="05A08FA1" w14:textId="37F087B8" w:rsidR="006E1D9A" w:rsidRPr="00DF7495" w:rsidRDefault="006E1D9A" w:rsidP="007C1418">
      <w:pPr>
        <w:pBdr>
          <w:left w:val="single" w:sz="4" w:space="1" w:color="auto"/>
        </w:pBdr>
        <w:rPr>
          <w:lang w:val="es-CO"/>
        </w:rPr>
      </w:pPr>
      <w:r w:rsidRPr="00DF7495">
        <w:rPr>
          <w:lang w:val="es-CO"/>
        </w:rPr>
        <w:t>2.3. Estructura de control interno</w:t>
      </w:r>
    </w:p>
    <w:p w14:paraId="2D6F73C5" w14:textId="7A1A3281" w:rsidR="006E1D9A" w:rsidRPr="00DF7495" w:rsidRDefault="006E1D9A" w:rsidP="007C1418">
      <w:pPr>
        <w:pBdr>
          <w:left w:val="single" w:sz="4" w:space="1" w:color="auto"/>
        </w:pBdr>
        <w:rPr>
          <w:lang w:val="es-CO"/>
        </w:rPr>
      </w:pPr>
      <w:r w:rsidRPr="00DF7495">
        <w:rPr>
          <w:lang w:val="es-CO"/>
        </w:rPr>
        <w:t xml:space="preserve">2.4. Códigos de </w:t>
      </w:r>
      <w:r w:rsidR="004210F2">
        <w:rPr>
          <w:lang w:val="es-CO"/>
        </w:rPr>
        <w:t>b</w:t>
      </w:r>
      <w:r w:rsidRPr="00DF7495">
        <w:rPr>
          <w:lang w:val="es-CO"/>
        </w:rPr>
        <w:t xml:space="preserve">uen </w:t>
      </w:r>
      <w:r w:rsidR="004210F2">
        <w:rPr>
          <w:lang w:val="es-CO"/>
        </w:rPr>
        <w:t>g</w:t>
      </w:r>
      <w:r w:rsidRPr="00DF7495">
        <w:rPr>
          <w:lang w:val="es-CO"/>
        </w:rPr>
        <w:t xml:space="preserve">obierno </w:t>
      </w:r>
      <w:r w:rsidR="004210F2">
        <w:rPr>
          <w:lang w:val="es-CO"/>
        </w:rPr>
        <w:t>c</w:t>
      </w:r>
      <w:r w:rsidRPr="00DF7495">
        <w:rPr>
          <w:lang w:val="es-CO"/>
        </w:rPr>
        <w:t>orporativo</w:t>
      </w:r>
    </w:p>
    <w:p w14:paraId="6925E099" w14:textId="5FAF81B7" w:rsidR="006E1D9A" w:rsidRPr="00DF7495" w:rsidRDefault="006E1D9A" w:rsidP="007C1418">
      <w:pPr>
        <w:pBdr>
          <w:left w:val="single" w:sz="4" w:space="1" w:color="auto"/>
        </w:pBdr>
        <w:rPr>
          <w:lang w:val="es-CO"/>
        </w:rPr>
      </w:pPr>
      <w:r w:rsidRPr="00DF7495">
        <w:rPr>
          <w:lang w:val="es-CO"/>
        </w:rPr>
        <w:t xml:space="preserve">2.5. Sistema de gestión y administración de los riesgos </w:t>
      </w:r>
    </w:p>
    <w:p w14:paraId="718EA4E7" w14:textId="68AF4508" w:rsidR="00775F87" w:rsidRPr="00DF7495" w:rsidRDefault="00775F87" w:rsidP="007C1418">
      <w:pPr>
        <w:pBdr>
          <w:left w:val="single" w:sz="4" w:space="1" w:color="auto"/>
        </w:pBdr>
        <w:rPr>
          <w:lang w:val="es-CO"/>
        </w:rPr>
      </w:pPr>
      <w:r w:rsidRPr="00DF7495">
        <w:rPr>
          <w:lang w:val="es-CO"/>
        </w:rPr>
        <w:t>2.6. Custodia</w:t>
      </w:r>
    </w:p>
    <w:p w14:paraId="182113FC" w14:textId="126DD800" w:rsidR="00775F87" w:rsidRPr="00DF7495" w:rsidRDefault="00775F87" w:rsidP="007C1418">
      <w:pPr>
        <w:pBdr>
          <w:left w:val="single" w:sz="4" w:space="1" w:color="auto"/>
        </w:pBdr>
        <w:rPr>
          <w:lang w:val="es-CO"/>
        </w:rPr>
      </w:pPr>
      <w:r w:rsidRPr="00DF7495">
        <w:rPr>
          <w:lang w:val="es-CO"/>
        </w:rPr>
        <w:t xml:space="preserve">2.7. Revisión periódica </w:t>
      </w:r>
    </w:p>
    <w:p w14:paraId="0D8409B5" w14:textId="77777777" w:rsidR="00775F87" w:rsidRPr="00DF7495" w:rsidRDefault="00775F87" w:rsidP="007C1418">
      <w:pPr>
        <w:pStyle w:val="Textoindependiente"/>
        <w:pBdr>
          <w:left w:val="single" w:sz="4" w:space="1" w:color="auto"/>
        </w:pBdr>
        <w:spacing w:after="0"/>
        <w:rPr>
          <w:rFonts w:cs="Arial"/>
          <w:spacing w:val="-3"/>
          <w:szCs w:val="16"/>
          <w:lang w:val="es-CO" w:eastAsia="es-ES"/>
        </w:rPr>
      </w:pPr>
    </w:p>
    <w:p w14:paraId="31B1FFB6" w14:textId="20B65309" w:rsidR="00775F87" w:rsidRPr="00DF7495" w:rsidRDefault="00775F87" w:rsidP="007C1418">
      <w:pPr>
        <w:pBdr>
          <w:left w:val="single" w:sz="4" w:space="1" w:color="auto"/>
        </w:pBdr>
        <w:rPr>
          <w:b/>
          <w:bCs/>
          <w:lang w:val="es-CO"/>
        </w:rPr>
      </w:pPr>
      <w:r w:rsidRPr="00DF7495">
        <w:rPr>
          <w:b/>
          <w:bCs/>
          <w:lang w:val="es-CO"/>
        </w:rPr>
        <w:t xml:space="preserve">3. AUTORIZACIONES </w:t>
      </w:r>
    </w:p>
    <w:p w14:paraId="48352BBB" w14:textId="1E5A55FB" w:rsidR="007E2C0A" w:rsidRPr="00DF7495" w:rsidRDefault="00775F87" w:rsidP="007C1418">
      <w:pPr>
        <w:pBdr>
          <w:left w:val="single" w:sz="4" w:space="1" w:color="auto"/>
        </w:pBdr>
        <w:rPr>
          <w:lang w:val="es-CO"/>
        </w:rPr>
      </w:pPr>
      <w:r w:rsidRPr="00DF7495">
        <w:rPr>
          <w:lang w:val="es-CO"/>
        </w:rPr>
        <w:t>3.1.</w:t>
      </w:r>
      <w:r w:rsidR="007E2C0A" w:rsidRPr="00DF7495">
        <w:rPr>
          <w:lang w:val="es-CO"/>
        </w:rPr>
        <w:t xml:space="preserve"> Requisitos para autorizar la constitución de nuevos FVP</w:t>
      </w:r>
      <w:r w:rsidRPr="00DF7495">
        <w:rPr>
          <w:lang w:val="es-CO"/>
        </w:rPr>
        <w:t xml:space="preserve"> </w:t>
      </w:r>
    </w:p>
    <w:p w14:paraId="236A4137" w14:textId="65641438" w:rsidR="00775F87" w:rsidRPr="00DF7495" w:rsidRDefault="00A6759B" w:rsidP="007C1418">
      <w:pPr>
        <w:pBdr>
          <w:left w:val="single" w:sz="4" w:space="1" w:color="auto"/>
        </w:pBdr>
        <w:rPr>
          <w:lang w:val="es-CO"/>
        </w:rPr>
      </w:pPr>
      <w:r w:rsidRPr="00DF7495">
        <w:rPr>
          <w:lang w:val="es-CO"/>
        </w:rPr>
        <w:t xml:space="preserve">3.2. Modificaciones al reglamento de funcionamiento del FVP en operación. </w:t>
      </w:r>
    </w:p>
    <w:p w14:paraId="206AE5A6" w14:textId="27169A61" w:rsidR="00775F87" w:rsidRPr="00DF7495" w:rsidRDefault="00775F87" w:rsidP="007C1418">
      <w:pPr>
        <w:pStyle w:val="Textoindependiente"/>
        <w:pBdr>
          <w:left w:val="single" w:sz="4" w:space="1" w:color="auto"/>
        </w:pBdr>
        <w:spacing w:after="0"/>
        <w:rPr>
          <w:rFonts w:cs="Arial"/>
          <w:spacing w:val="-3"/>
          <w:szCs w:val="16"/>
          <w:lang w:val="es-CO" w:eastAsia="es-ES"/>
        </w:rPr>
      </w:pPr>
    </w:p>
    <w:p w14:paraId="218F7408" w14:textId="38221A3C" w:rsidR="006C6DC7" w:rsidRPr="00DF7495" w:rsidRDefault="00D76A2E" w:rsidP="007C1418">
      <w:pPr>
        <w:pBdr>
          <w:left w:val="single" w:sz="4" w:space="1" w:color="auto"/>
        </w:pBdr>
        <w:rPr>
          <w:b/>
          <w:bCs/>
          <w:lang w:val="es-CO"/>
        </w:rPr>
      </w:pPr>
      <w:r w:rsidRPr="00DF7495">
        <w:rPr>
          <w:b/>
          <w:bCs/>
          <w:lang w:val="es-CO"/>
        </w:rPr>
        <w:t>4. ALTERNATIVAS DE INVERSIÓN</w:t>
      </w:r>
    </w:p>
    <w:p w14:paraId="0F55527B" w14:textId="559F605C" w:rsidR="00D76A2E" w:rsidRPr="00DF7495" w:rsidRDefault="00D76A2E" w:rsidP="007C1418">
      <w:pPr>
        <w:pBdr>
          <w:left w:val="single" w:sz="4" w:space="1" w:color="auto"/>
        </w:pBdr>
        <w:rPr>
          <w:lang w:val="es-CO"/>
        </w:rPr>
      </w:pPr>
      <w:r w:rsidRPr="00DF7495">
        <w:rPr>
          <w:lang w:val="es-CO"/>
        </w:rPr>
        <w:t>4.1</w:t>
      </w:r>
      <w:r w:rsidR="000513E1" w:rsidRPr="00DF7495">
        <w:rPr>
          <w:lang w:val="es-CO"/>
        </w:rPr>
        <w:t>. Alternativas estandarizadas</w:t>
      </w:r>
    </w:p>
    <w:p w14:paraId="5E4090BF" w14:textId="33749419" w:rsidR="000513E1" w:rsidRPr="00DF7495" w:rsidRDefault="000513E1" w:rsidP="007C1418">
      <w:pPr>
        <w:pBdr>
          <w:left w:val="single" w:sz="4" w:space="1" w:color="auto"/>
        </w:pBdr>
        <w:rPr>
          <w:lang w:val="es-CO"/>
        </w:rPr>
      </w:pPr>
      <w:r w:rsidRPr="00DF7495">
        <w:rPr>
          <w:lang w:val="es-CO"/>
        </w:rPr>
        <w:t>4.2. Alternativas flexibles</w:t>
      </w:r>
    </w:p>
    <w:p w14:paraId="1A62622B" w14:textId="26AF4186" w:rsidR="000513E1" w:rsidRPr="00DF7495" w:rsidRDefault="000513E1" w:rsidP="007C1418">
      <w:pPr>
        <w:pBdr>
          <w:left w:val="single" w:sz="4" w:space="1" w:color="auto"/>
        </w:pBdr>
        <w:rPr>
          <w:lang w:val="es-CO"/>
        </w:rPr>
      </w:pPr>
      <w:r w:rsidRPr="00DF7495">
        <w:rPr>
          <w:lang w:val="es-CO"/>
        </w:rPr>
        <w:t>4.3. Alternativas autogestionadas.</w:t>
      </w:r>
    </w:p>
    <w:p w14:paraId="4FEAE83E" w14:textId="77777777" w:rsidR="006C6DC7" w:rsidRPr="00DF7495" w:rsidRDefault="006C6DC7" w:rsidP="007C1418">
      <w:pPr>
        <w:pBdr>
          <w:left w:val="single" w:sz="4" w:space="1" w:color="auto"/>
        </w:pBdr>
        <w:rPr>
          <w:b/>
          <w:bCs/>
          <w:lang w:val="es-CO"/>
        </w:rPr>
      </w:pPr>
    </w:p>
    <w:p w14:paraId="2B39EC5B" w14:textId="72A03469" w:rsidR="00775F87" w:rsidRPr="00DF7495" w:rsidRDefault="00CE33C5" w:rsidP="007C1418">
      <w:pPr>
        <w:pBdr>
          <w:left w:val="single" w:sz="4" w:space="1" w:color="auto"/>
        </w:pBdr>
        <w:rPr>
          <w:b/>
          <w:bCs/>
          <w:lang w:val="es-CO"/>
        </w:rPr>
      </w:pPr>
      <w:r w:rsidRPr="00DF7495">
        <w:rPr>
          <w:b/>
          <w:bCs/>
          <w:lang w:val="es-CO"/>
        </w:rPr>
        <w:t>5</w:t>
      </w:r>
      <w:r w:rsidR="00775F87" w:rsidRPr="00DF7495">
        <w:rPr>
          <w:b/>
          <w:bCs/>
          <w:lang w:val="es-CO"/>
        </w:rPr>
        <w:t xml:space="preserve">. MECANISMOS DE REVELACIÓN DE INFORMACIÓN </w:t>
      </w:r>
    </w:p>
    <w:p w14:paraId="2B50E1D8" w14:textId="48D91C83" w:rsidR="00775F87" w:rsidRPr="00DF7495" w:rsidRDefault="00CE33C5" w:rsidP="007C1418">
      <w:pPr>
        <w:pBdr>
          <w:left w:val="single" w:sz="4" w:space="1" w:color="auto"/>
        </w:pBdr>
        <w:rPr>
          <w:lang w:val="es-CO"/>
        </w:rPr>
      </w:pPr>
      <w:r w:rsidRPr="00DF7495">
        <w:rPr>
          <w:lang w:val="es-CO"/>
        </w:rPr>
        <w:t>5</w:t>
      </w:r>
      <w:r w:rsidR="00CA6613" w:rsidRPr="00DF7495">
        <w:rPr>
          <w:lang w:val="es-CO"/>
        </w:rPr>
        <w:t xml:space="preserve">.1. </w:t>
      </w:r>
      <w:r w:rsidR="009F2FC3" w:rsidRPr="00DF7495">
        <w:rPr>
          <w:lang w:val="es-CO"/>
        </w:rPr>
        <w:t>Principios generales de revelación de información</w:t>
      </w:r>
    </w:p>
    <w:p w14:paraId="1D4609F5" w14:textId="6C307668" w:rsidR="00AB254F" w:rsidRPr="00DF7495" w:rsidRDefault="00CE33C5" w:rsidP="007C1418">
      <w:pPr>
        <w:pBdr>
          <w:left w:val="single" w:sz="4" w:space="1" w:color="auto"/>
        </w:pBdr>
        <w:rPr>
          <w:lang w:val="es-CO"/>
        </w:rPr>
      </w:pPr>
      <w:r w:rsidRPr="00DF7495">
        <w:rPr>
          <w:lang w:val="es-CO"/>
        </w:rPr>
        <w:t>5</w:t>
      </w:r>
      <w:r w:rsidR="00CA6613" w:rsidRPr="00DF7495">
        <w:rPr>
          <w:lang w:val="es-CO"/>
        </w:rPr>
        <w:t>.2.</w:t>
      </w:r>
      <w:r w:rsidR="00AB254F" w:rsidRPr="00DF7495">
        <w:rPr>
          <w:lang w:val="es-CO"/>
        </w:rPr>
        <w:t xml:space="preserve"> Contenido mínimo </w:t>
      </w:r>
      <w:r w:rsidR="013A608C" w:rsidRPr="00DF7495">
        <w:rPr>
          <w:lang w:val="es-CO"/>
        </w:rPr>
        <w:t>del reglamento</w:t>
      </w:r>
      <w:r w:rsidR="00AB254F" w:rsidRPr="00DF7495">
        <w:rPr>
          <w:lang w:val="es-CO"/>
        </w:rPr>
        <w:t xml:space="preserve"> de funcionamiento</w:t>
      </w:r>
      <w:r w:rsidR="00CA6613" w:rsidRPr="00DF7495">
        <w:rPr>
          <w:lang w:val="es-CO"/>
        </w:rPr>
        <w:t xml:space="preserve"> </w:t>
      </w:r>
    </w:p>
    <w:p w14:paraId="71D5762F" w14:textId="163520DE" w:rsidR="001D6CCA" w:rsidRPr="00DF7495" w:rsidRDefault="001D6CCA" w:rsidP="007C1418">
      <w:pPr>
        <w:pBdr>
          <w:left w:val="single" w:sz="4" w:space="1" w:color="auto"/>
        </w:pBdr>
        <w:rPr>
          <w:lang w:val="es-CO"/>
        </w:rPr>
      </w:pPr>
      <w:r w:rsidRPr="00DF7495">
        <w:rPr>
          <w:lang w:val="es-CO"/>
        </w:rPr>
        <w:t>5.3. Deberes de información de las alternativas</w:t>
      </w:r>
    </w:p>
    <w:p w14:paraId="34C4E297" w14:textId="4ABFC3A7" w:rsidR="00CA6613" w:rsidRPr="00DF7495" w:rsidRDefault="00CE33C5" w:rsidP="007C1418">
      <w:pPr>
        <w:pBdr>
          <w:left w:val="single" w:sz="4" w:space="1" w:color="auto"/>
        </w:pBdr>
        <w:rPr>
          <w:lang w:val="es-CO"/>
        </w:rPr>
      </w:pPr>
      <w:r w:rsidRPr="00DF7495">
        <w:rPr>
          <w:lang w:val="es-CO"/>
        </w:rPr>
        <w:t>5</w:t>
      </w:r>
      <w:r w:rsidR="00646397" w:rsidRPr="00DF7495">
        <w:rPr>
          <w:lang w:val="es-CO"/>
        </w:rPr>
        <w:t>.</w:t>
      </w:r>
      <w:r w:rsidR="001D6CCA" w:rsidRPr="00DF7495">
        <w:rPr>
          <w:lang w:val="es-CO"/>
        </w:rPr>
        <w:t>4</w:t>
      </w:r>
      <w:r w:rsidR="00646397" w:rsidRPr="00DF7495">
        <w:rPr>
          <w:lang w:val="es-CO"/>
        </w:rPr>
        <w:t xml:space="preserve">. </w:t>
      </w:r>
      <w:r w:rsidR="00CA6613" w:rsidRPr="00DF7495">
        <w:rPr>
          <w:lang w:val="es-CO"/>
        </w:rPr>
        <w:t>Prospecto de portafolio</w:t>
      </w:r>
    </w:p>
    <w:p w14:paraId="39B49D22" w14:textId="59FFACFF" w:rsidR="00CA6613" w:rsidRPr="00DF7495" w:rsidRDefault="00CE33C5" w:rsidP="007C1418">
      <w:pPr>
        <w:pBdr>
          <w:left w:val="single" w:sz="4" w:space="1" w:color="auto"/>
        </w:pBdr>
        <w:rPr>
          <w:lang w:val="es-CO"/>
        </w:rPr>
      </w:pPr>
      <w:r w:rsidRPr="00DF7495">
        <w:rPr>
          <w:lang w:val="es-CO"/>
        </w:rPr>
        <w:t>5</w:t>
      </w:r>
      <w:r w:rsidR="00CA6613" w:rsidRPr="00DF7495">
        <w:rPr>
          <w:lang w:val="es-CO"/>
        </w:rPr>
        <w:t>.</w:t>
      </w:r>
      <w:r w:rsidR="001D6CCA" w:rsidRPr="00DF7495">
        <w:rPr>
          <w:lang w:val="es-CO"/>
        </w:rPr>
        <w:t>5</w:t>
      </w:r>
      <w:r w:rsidR="00CA6613" w:rsidRPr="00DF7495">
        <w:rPr>
          <w:lang w:val="es-CO"/>
        </w:rPr>
        <w:t>. Informe de rendición de cuentas de la sociedad administradora</w:t>
      </w:r>
    </w:p>
    <w:p w14:paraId="061BAF83" w14:textId="547A8B50" w:rsidR="00CA6613" w:rsidRPr="00DF7495" w:rsidRDefault="00CE33C5" w:rsidP="007C1418">
      <w:pPr>
        <w:pBdr>
          <w:left w:val="single" w:sz="4" w:space="1" w:color="auto"/>
        </w:pBdr>
        <w:rPr>
          <w:lang w:val="es-CO"/>
        </w:rPr>
      </w:pPr>
      <w:r w:rsidRPr="00DF7495">
        <w:rPr>
          <w:lang w:val="es-CO"/>
        </w:rPr>
        <w:t>5</w:t>
      </w:r>
      <w:r w:rsidR="00CA6613" w:rsidRPr="00DF7495">
        <w:rPr>
          <w:lang w:val="es-CO"/>
        </w:rPr>
        <w:t>.</w:t>
      </w:r>
      <w:r w:rsidR="001D6CCA" w:rsidRPr="00DF7495">
        <w:rPr>
          <w:lang w:val="es-CO"/>
        </w:rPr>
        <w:t>6</w:t>
      </w:r>
      <w:r w:rsidR="00CA6613" w:rsidRPr="00DF7495">
        <w:rPr>
          <w:lang w:val="es-CO"/>
        </w:rPr>
        <w:t>. Ficha técnica</w:t>
      </w:r>
    </w:p>
    <w:p w14:paraId="5888CB4A" w14:textId="27E8ACE6" w:rsidR="00CA6613" w:rsidRPr="00DF7495" w:rsidRDefault="00CE33C5" w:rsidP="007C1418">
      <w:pPr>
        <w:pBdr>
          <w:left w:val="single" w:sz="4" w:space="1" w:color="auto"/>
        </w:pBdr>
        <w:rPr>
          <w:lang w:val="es-CO"/>
        </w:rPr>
      </w:pPr>
      <w:r w:rsidRPr="00DF7495">
        <w:rPr>
          <w:lang w:val="es-CO"/>
        </w:rPr>
        <w:t>5</w:t>
      </w:r>
      <w:r w:rsidR="00CA6613" w:rsidRPr="00DF7495">
        <w:rPr>
          <w:lang w:val="es-CO"/>
        </w:rPr>
        <w:t>.</w:t>
      </w:r>
      <w:r w:rsidR="001D6CCA" w:rsidRPr="00DF7495">
        <w:rPr>
          <w:lang w:val="es-CO"/>
        </w:rPr>
        <w:t>7</w:t>
      </w:r>
      <w:r w:rsidR="00CA6613" w:rsidRPr="00DF7495">
        <w:rPr>
          <w:lang w:val="es-CO"/>
        </w:rPr>
        <w:t>. Extractos</w:t>
      </w:r>
    </w:p>
    <w:p w14:paraId="1DC69BC2" w14:textId="6E3798D0" w:rsidR="00CA6613" w:rsidRPr="00DF7495" w:rsidRDefault="00CE33C5" w:rsidP="007C1418">
      <w:pPr>
        <w:pBdr>
          <w:left w:val="single" w:sz="4" w:space="1" w:color="auto"/>
        </w:pBdr>
        <w:rPr>
          <w:lang w:val="es-CO"/>
        </w:rPr>
      </w:pPr>
      <w:r w:rsidRPr="00DF7495">
        <w:rPr>
          <w:lang w:val="es-CO"/>
        </w:rPr>
        <w:t>5</w:t>
      </w:r>
      <w:r w:rsidR="00CA6613" w:rsidRPr="00DF7495">
        <w:rPr>
          <w:lang w:val="es-CO"/>
        </w:rPr>
        <w:t>.</w:t>
      </w:r>
      <w:r w:rsidR="001D6CCA" w:rsidRPr="00DF7495">
        <w:rPr>
          <w:lang w:val="es-CO"/>
        </w:rPr>
        <w:t>8</w:t>
      </w:r>
      <w:r w:rsidR="00CA6613" w:rsidRPr="00DF7495">
        <w:rPr>
          <w:lang w:val="es-CO"/>
        </w:rPr>
        <w:t>. Publicación de información en la página web de la sociedad administradora</w:t>
      </w:r>
    </w:p>
    <w:p w14:paraId="71508CD1" w14:textId="77777777" w:rsidR="003C0C1E" w:rsidRPr="00DF7495" w:rsidRDefault="003C0C1E" w:rsidP="007F45E3">
      <w:pPr>
        <w:rPr>
          <w:lang w:val="es-CO"/>
        </w:rPr>
      </w:pPr>
    </w:p>
    <w:p w14:paraId="71508CD2" w14:textId="77777777" w:rsidR="003C0C1E" w:rsidRPr="00DF7495" w:rsidRDefault="003C0C1E" w:rsidP="007F45E3">
      <w:pPr>
        <w:rPr>
          <w:lang w:val="es-CO"/>
        </w:rPr>
      </w:pPr>
    </w:p>
    <w:p w14:paraId="71508CD3" w14:textId="77777777" w:rsidR="006732D6" w:rsidRPr="00DF7495" w:rsidRDefault="006732D6" w:rsidP="007C1418">
      <w:pPr>
        <w:pBdr>
          <w:left w:val="single" w:sz="4" w:space="1" w:color="auto"/>
        </w:pBdr>
        <w:rPr>
          <w:lang w:val="es-CO"/>
        </w:rPr>
        <w:sectPr w:rsidR="006732D6" w:rsidRPr="00DF7495" w:rsidSect="00182E79">
          <w:headerReference w:type="default" r:id="rId11"/>
          <w:footerReference w:type="default" r:id="rId12"/>
          <w:pgSz w:w="12240" w:h="18720" w:code="14"/>
          <w:pgMar w:top="1418" w:right="1701" w:bottom="1418" w:left="1701" w:header="1134" w:footer="1134" w:gutter="0"/>
          <w:paperSrc w:first="15" w:other="15"/>
          <w:pgNumType w:start="1"/>
          <w:cols w:space="720"/>
          <w:docGrid w:linePitch="245"/>
        </w:sectPr>
      </w:pPr>
    </w:p>
    <w:p w14:paraId="71508CD4" w14:textId="77777777" w:rsidR="009F3E1E" w:rsidRPr="00DF7495" w:rsidRDefault="006750C5" w:rsidP="007F45E3">
      <w:pPr>
        <w:jc w:val="center"/>
        <w:rPr>
          <w:b/>
          <w:bCs/>
          <w:lang w:val="es-CO"/>
        </w:rPr>
      </w:pPr>
      <w:r w:rsidRPr="00DF7495">
        <w:rPr>
          <w:b/>
          <w:bCs/>
          <w:lang w:val="es-CO"/>
        </w:rPr>
        <w:lastRenderedPageBreak/>
        <w:t>PARTE II</w:t>
      </w:r>
    </w:p>
    <w:p w14:paraId="71508CD5" w14:textId="77777777" w:rsidR="006750C5" w:rsidRPr="00DF7495" w:rsidRDefault="006750C5" w:rsidP="007F45E3">
      <w:pPr>
        <w:jc w:val="center"/>
        <w:rPr>
          <w:b/>
          <w:bCs/>
          <w:lang w:val="es-CO"/>
        </w:rPr>
      </w:pPr>
      <w:r w:rsidRPr="00DF7495">
        <w:rPr>
          <w:b/>
          <w:bCs/>
          <w:lang w:val="es-CO"/>
        </w:rPr>
        <w:t>MERCADO INTERMEDIADO</w:t>
      </w:r>
    </w:p>
    <w:p w14:paraId="71508CD6" w14:textId="77777777" w:rsidR="006750C5" w:rsidRPr="00DF7495" w:rsidRDefault="006750C5" w:rsidP="007F45E3">
      <w:pPr>
        <w:jc w:val="center"/>
        <w:rPr>
          <w:b/>
          <w:bCs/>
          <w:lang w:val="es-CO"/>
        </w:rPr>
      </w:pPr>
    </w:p>
    <w:p w14:paraId="71508CD7" w14:textId="77777777" w:rsidR="009F3E1E" w:rsidRPr="00DF7495" w:rsidRDefault="009F3E1E" w:rsidP="007F45E3">
      <w:pPr>
        <w:jc w:val="center"/>
        <w:rPr>
          <w:b/>
          <w:bCs/>
          <w:lang w:val="es-CO"/>
        </w:rPr>
      </w:pPr>
      <w:r w:rsidRPr="00DF7495">
        <w:rPr>
          <w:b/>
          <w:bCs/>
          <w:lang w:val="es-CO"/>
        </w:rPr>
        <w:t>T</w:t>
      </w:r>
      <w:r w:rsidR="00906414" w:rsidRPr="00DF7495">
        <w:rPr>
          <w:b/>
          <w:bCs/>
          <w:lang w:val="es-CO"/>
        </w:rPr>
        <w:t>Í</w:t>
      </w:r>
      <w:r w:rsidRPr="00DF7495">
        <w:rPr>
          <w:b/>
          <w:bCs/>
          <w:lang w:val="es-CO"/>
        </w:rPr>
        <w:t xml:space="preserve">TULO </w:t>
      </w:r>
      <w:r w:rsidR="00422709" w:rsidRPr="00DF7495">
        <w:rPr>
          <w:b/>
          <w:bCs/>
          <w:lang w:val="es-CO"/>
        </w:rPr>
        <w:t>III</w:t>
      </w:r>
    </w:p>
    <w:p w14:paraId="71508CD8" w14:textId="77777777" w:rsidR="009F3E1E" w:rsidRPr="00DF7495" w:rsidRDefault="002652F2" w:rsidP="007F45E3">
      <w:pPr>
        <w:jc w:val="center"/>
        <w:rPr>
          <w:b/>
          <w:bCs/>
          <w:lang w:val="es-CO"/>
        </w:rPr>
      </w:pPr>
      <w:r w:rsidRPr="00DF7495">
        <w:rPr>
          <w:b/>
          <w:bCs/>
          <w:lang w:val="es-CO"/>
        </w:rPr>
        <w:t>INSTRUCCIONES GENERALES RELATIVAS A</w:t>
      </w:r>
      <w:r w:rsidR="00E412C1" w:rsidRPr="00DF7495">
        <w:rPr>
          <w:b/>
          <w:bCs/>
          <w:lang w:val="es-CO"/>
        </w:rPr>
        <w:t xml:space="preserve"> LAS OPERACIONES DE</w:t>
      </w:r>
      <w:r w:rsidRPr="00DF7495">
        <w:rPr>
          <w:b/>
          <w:bCs/>
          <w:lang w:val="es-CO"/>
        </w:rPr>
        <w:t xml:space="preserve"> LAS </w:t>
      </w:r>
      <w:r w:rsidR="009F3E1E" w:rsidRPr="00DF7495">
        <w:rPr>
          <w:b/>
          <w:bCs/>
          <w:lang w:val="es-CO"/>
        </w:rPr>
        <w:t>ENTIDADES ADMINISTRADORAS DE PENSIONES Y CESANT</w:t>
      </w:r>
      <w:r w:rsidR="00906414" w:rsidRPr="00DF7495">
        <w:rPr>
          <w:b/>
          <w:bCs/>
          <w:lang w:val="es-CO"/>
        </w:rPr>
        <w:t>Í</w:t>
      </w:r>
      <w:r w:rsidR="009F3E1E" w:rsidRPr="00DF7495">
        <w:rPr>
          <w:b/>
          <w:bCs/>
          <w:lang w:val="es-CO"/>
        </w:rPr>
        <w:t>AS</w:t>
      </w:r>
    </w:p>
    <w:p w14:paraId="71508CD9" w14:textId="77777777" w:rsidR="007A2F0D" w:rsidRPr="00DF7495" w:rsidRDefault="007A2F0D" w:rsidP="007F45E3">
      <w:pPr>
        <w:jc w:val="center"/>
        <w:rPr>
          <w:b/>
          <w:bCs/>
          <w:lang w:val="es-CO"/>
        </w:rPr>
      </w:pPr>
    </w:p>
    <w:p w14:paraId="02F7CA1B" w14:textId="77777777" w:rsidR="00AB391F" w:rsidRPr="00DF7495" w:rsidRDefault="00906414" w:rsidP="007C1418">
      <w:pPr>
        <w:pBdr>
          <w:left w:val="single" w:sz="4" w:space="1" w:color="auto"/>
        </w:pBdr>
        <w:jc w:val="center"/>
        <w:rPr>
          <w:rFonts w:cs="Arial"/>
          <w:b/>
          <w:bCs/>
          <w:lang w:val="es-CO"/>
        </w:rPr>
      </w:pPr>
      <w:r w:rsidRPr="00DF7495">
        <w:rPr>
          <w:b/>
          <w:bCs/>
          <w:lang w:val="es-CO"/>
        </w:rPr>
        <w:t>CAPÍTULO VI</w:t>
      </w:r>
      <w:r w:rsidR="001F7D8B" w:rsidRPr="00DF7495">
        <w:rPr>
          <w:b/>
          <w:bCs/>
          <w:lang w:val="es-CO"/>
        </w:rPr>
        <w:t xml:space="preserve">: </w:t>
      </w:r>
      <w:r w:rsidR="00AB391F" w:rsidRPr="00DF7495">
        <w:rPr>
          <w:b/>
          <w:bCs/>
          <w:lang w:val="es-CO"/>
        </w:rPr>
        <w:t>FONDOS VOLUNTARIOS DE PENSION – FVP.</w:t>
      </w:r>
    </w:p>
    <w:p w14:paraId="71508CDB" w14:textId="77777777" w:rsidR="008B28DD" w:rsidRPr="00DF7495" w:rsidRDefault="008B28DD" w:rsidP="007C1418">
      <w:pPr>
        <w:pBdr>
          <w:left w:val="single" w:sz="4" w:space="1" w:color="auto"/>
        </w:pBdr>
        <w:rPr>
          <w:lang w:val="es-CO" w:eastAsia="es-ES"/>
        </w:rPr>
      </w:pPr>
    </w:p>
    <w:p w14:paraId="3B4A6D1D" w14:textId="77777777" w:rsidR="00EF5FB7" w:rsidRPr="00DF7495" w:rsidRDefault="00EF5FB7" w:rsidP="007C1418">
      <w:pPr>
        <w:pBdr>
          <w:left w:val="single" w:sz="4" w:space="1" w:color="auto"/>
        </w:pBdr>
        <w:rPr>
          <w:lang w:val="es-CO"/>
        </w:rPr>
      </w:pPr>
    </w:p>
    <w:p w14:paraId="05977BA9" w14:textId="68433E90" w:rsidR="00916B4D" w:rsidRPr="00DF7495" w:rsidRDefault="00916B4D" w:rsidP="007C1418">
      <w:pPr>
        <w:pStyle w:val="Ttulo1"/>
        <w:pBdr>
          <w:left w:val="single" w:sz="4" w:space="1" w:color="auto"/>
        </w:pBdr>
        <w:rPr>
          <w:lang w:val="es-CO"/>
        </w:rPr>
      </w:pPr>
      <w:r w:rsidRPr="00DF7495">
        <w:rPr>
          <w:lang w:val="es-CO"/>
        </w:rPr>
        <w:t xml:space="preserve">Consideraciones generales </w:t>
      </w:r>
    </w:p>
    <w:p w14:paraId="359D353A" w14:textId="77777777" w:rsidR="00DA1316" w:rsidRPr="00DF7495" w:rsidRDefault="00DA1316" w:rsidP="007C1418">
      <w:pPr>
        <w:pBdr>
          <w:left w:val="single" w:sz="4" w:space="1" w:color="auto"/>
        </w:pBdr>
        <w:rPr>
          <w:lang w:val="es-CO"/>
        </w:rPr>
      </w:pPr>
    </w:p>
    <w:p w14:paraId="61195C2B" w14:textId="7D1E5A06" w:rsidR="00D152E0" w:rsidRPr="00DF7495" w:rsidRDefault="00DA1316" w:rsidP="007C1418">
      <w:pPr>
        <w:pBdr>
          <w:left w:val="single" w:sz="4" w:space="1" w:color="auto"/>
        </w:pBdr>
        <w:rPr>
          <w:lang w:val="es-CO"/>
        </w:rPr>
      </w:pPr>
      <w:r w:rsidRPr="00DF7495">
        <w:rPr>
          <w:lang w:val="es-CO"/>
        </w:rPr>
        <w:t xml:space="preserve">Las reglas contenidas en el presente capítulo y sus anexos son aplicables a las </w:t>
      </w:r>
      <w:r w:rsidR="00D457EC">
        <w:rPr>
          <w:lang w:val="es-CO"/>
        </w:rPr>
        <w:t>sociedades administradoras de fondos de pensiones y cesantías</w:t>
      </w:r>
      <w:r w:rsidRPr="00DF7495">
        <w:rPr>
          <w:lang w:val="es-CO"/>
        </w:rPr>
        <w:t>, a las sociedades fiduciarias y a las compañías de seguros autorizadas para administrar fondos voluntarios de pensión (</w:t>
      </w:r>
      <w:r w:rsidR="002143C4" w:rsidRPr="00DF7495">
        <w:rPr>
          <w:lang w:val="es-CO"/>
        </w:rPr>
        <w:t>en adelante, “</w:t>
      </w:r>
      <w:r w:rsidRPr="00DF7495">
        <w:rPr>
          <w:lang w:val="es-CO"/>
        </w:rPr>
        <w:t>FVP</w:t>
      </w:r>
      <w:r w:rsidR="002143C4" w:rsidRPr="00DF7495">
        <w:rPr>
          <w:lang w:val="es-CO"/>
        </w:rPr>
        <w:t>”</w:t>
      </w:r>
      <w:r w:rsidRPr="00DF7495">
        <w:rPr>
          <w:lang w:val="es-CO"/>
        </w:rPr>
        <w:t>).</w:t>
      </w:r>
    </w:p>
    <w:p w14:paraId="71508CE0" w14:textId="5D639F13" w:rsidR="00CA46B7" w:rsidRDefault="00CA46B7" w:rsidP="007C1418">
      <w:pPr>
        <w:pBdr>
          <w:left w:val="single" w:sz="4" w:space="1" w:color="auto"/>
        </w:pBdr>
        <w:rPr>
          <w:lang w:val="es-CO"/>
        </w:rPr>
      </w:pPr>
    </w:p>
    <w:p w14:paraId="51DA90CA" w14:textId="77777777" w:rsidR="00493D94" w:rsidRPr="00DF7495" w:rsidRDefault="00493D94" w:rsidP="007C1418">
      <w:pPr>
        <w:pBdr>
          <w:left w:val="single" w:sz="4" w:space="1" w:color="auto"/>
        </w:pBdr>
        <w:rPr>
          <w:lang w:val="es-CO"/>
        </w:rPr>
      </w:pPr>
    </w:p>
    <w:p w14:paraId="71508CE2" w14:textId="381BD16B" w:rsidR="00814083" w:rsidRPr="00DF7495" w:rsidRDefault="004A3B74" w:rsidP="007C1418">
      <w:pPr>
        <w:pStyle w:val="Ttulo1"/>
        <w:pBdr>
          <w:left w:val="single" w:sz="4" w:space="1" w:color="auto"/>
        </w:pBdr>
        <w:rPr>
          <w:lang w:val="es-CO"/>
        </w:rPr>
      </w:pPr>
      <w:r w:rsidRPr="00DF7495">
        <w:rPr>
          <w:lang w:val="es-CO"/>
        </w:rPr>
        <w:t>requisitos aplicables a las sociedades administradoras de fvp</w:t>
      </w:r>
    </w:p>
    <w:p w14:paraId="71508CE3" w14:textId="77777777" w:rsidR="0024202F" w:rsidRPr="00DF7495" w:rsidRDefault="0024202F" w:rsidP="007C1418">
      <w:pPr>
        <w:pBdr>
          <w:left w:val="single" w:sz="4" w:space="1" w:color="auto"/>
        </w:pBdr>
        <w:rPr>
          <w:lang w:val="es-CO"/>
        </w:rPr>
      </w:pPr>
    </w:p>
    <w:p w14:paraId="71508CEB" w14:textId="0614146E" w:rsidR="0024202F" w:rsidRPr="00DF7495" w:rsidRDefault="00DE73AA" w:rsidP="007C1418">
      <w:pPr>
        <w:pBdr>
          <w:left w:val="single" w:sz="4" w:space="1" w:color="auto"/>
        </w:pBdr>
        <w:rPr>
          <w:lang w:val="es-CO"/>
        </w:rPr>
      </w:pPr>
      <w:r w:rsidRPr="00DF7495">
        <w:rPr>
          <w:lang w:val="es-CO"/>
        </w:rPr>
        <w:t xml:space="preserve">Para la </w:t>
      </w:r>
      <w:r w:rsidR="007D2F78" w:rsidRPr="00DF7495">
        <w:rPr>
          <w:lang w:val="es-CO"/>
        </w:rPr>
        <w:t xml:space="preserve">autorización por primera vez </w:t>
      </w:r>
      <w:r w:rsidRPr="00DF7495">
        <w:rPr>
          <w:lang w:val="es-CO"/>
        </w:rPr>
        <w:t>de</w:t>
      </w:r>
      <w:r w:rsidR="00432BB0" w:rsidRPr="00DF7495">
        <w:rPr>
          <w:lang w:val="es-CO"/>
        </w:rPr>
        <w:t xml:space="preserve"> un</w:t>
      </w:r>
      <w:r w:rsidRPr="00DF7495">
        <w:rPr>
          <w:lang w:val="es-CO"/>
        </w:rPr>
        <w:t xml:space="preserve"> </w:t>
      </w:r>
      <w:r w:rsidR="007D2F78" w:rsidRPr="00DF7495">
        <w:rPr>
          <w:lang w:val="es-CO"/>
        </w:rPr>
        <w:t>reglamento de</w:t>
      </w:r>
      <w:r w:rsidRPr="00DF7495">
        <w:rPr>
          <w:lang w:val="es-CO"/>
        </w:rPr>
        <w:t xml:space="preserve"> F</w:t>
      </w:r>
      <w:r w:rsidR="00283501" w:rsidRPr="00DF7495">
        <w:rPr>
          <w:lang w:val="es-CO"/>
        </w:rPr>
        <w:t>VP</w:t>
      </w:r>
      <w:r w:rsidR="00432BB0" w:rsidRPr="00DF7495">
        <w:rPr>
          <w:lang w:val="es-CO"/>
        </w:rPr>
        <w:t>,</w:t>
      </w:r>
      <w:r w:rsidR="00283501" w:rsidRPr="00DF7495">
        <w:rPr>
          <w:lang w:val="es-CO"/>
        </w:rPr>
        <w:t xml:space="preserve"> </w:t>
      </w:r>
      <w:r w:rsidRPr="00DF7495">
        <w:rPr>
          <w:lang w:val="es-CO"/>
        </w:rPr>
        <w:t xml:space="preserve">el representante legal de la sociedad administradora debe acreditar los requisitos señalados en el artículo </w:t>
      </w:r>
      <w:r w:rsidR="00257470" w:rsidRPr="00DF7495">
        <w:rPr>
          <w:lang w:val="es-CO"/>
        </w:rPr>
        <w:t>2.42.1.1.4</w:t>
      </w:r>
      <w:r w:rsidRPr="00DF7495">
        <w:rPr>
          <w:lang w:val="es-CO"/>
        </w:rPr>
        <w:t xml:space="preserve"> del Decreto 2555 de 2010 mediante certificación, para lo cual tendrá que considerar como mínimo los siguientes aspectos</w:t>
      </w:r>
      <w:r w:rsidR="00EC041E" w:rsidRPr="00DF7495">
        <w:rPr>
          <w:lang w:val="es-CO"/>
        </w:rPr>
        <w:t>:</w:t>
      </w:r>
    </w:p>
    <w:p w14:paraId="62B2B9D7" w14:textId="77777777" w:rsidR="00EC041E" w:rsidRPr="00DF7495" w:rsidRDefault="00EC041E" w:rsidP="007C1418">
      <w:pPr>
        <w:pBdr>
          <w:left w:val="single" w:sz="4" w:space="1" w:color="auto"/>
        </w:pBdr>
        <w:rPr>
          <w:lang w:val="es-CO"/>
        </w:rPr>
      </w:pPr>
    </w:p>
    <w:p w14:paraId="7C1756FB" w14:textId="5CE86B9E" w:rsidR="00A944EC" w:rsidRPr="00DF7495" w:rsidRDefault="007020BD" w:rsidP="007C1418">
      <w:pPr>
        <w:pStyle w:val="Ttulo2"/>
        <w:pBdr>
          <w:left w:val="single" w:sz="4" w:space="1" w:color="auto"/>
        </w:pBdr>
        <w:rPr>
          <w:lang w:val="es-CO"/>
        </w:rPr>
      </w:pPr>
      <w:r w:rsidRPr="00DF7495">
        <w:rPr>
          <w:lang w:val="es-CO"/>
        </w:rPr>
        <w:t>Infraestructura administrativa, operativa y humana</w:t>
      </w:r>
    </w:p>
    <w:p w14:paraId="77BDE29A" w14:textId="77777777" w:rsidR="006230E4" w:rsidRPr="00DF7495" w:rsidRDefault="006230E4" w:rsidP="007C1418">
      <w:pPr>
        <w:pBdr>
          <w:left w:val="single" w:sz="4" w:space="1" w:color="auto"/>
        </w:pBdr>
        <w:rPr>
          <w:lang w:val="es-CO"/>
        </w:rPr>
      </w:pPr>
    </w:p>
    <w:p w14:paraId="75E63174" w14:textId="5764D75A" w:rsidR="006230E4" w:rsidRPr="00DF7495" w:rsidRDefault="006230E4" w:rsidP="007C1418">
      <w:pPr>
        <w:pBdr>
          <w:left w:val="single" w:sz="4" w:space="1" w:color="auto"/>
        </w:pBdr>
        <w:rPr>
          <w:lang w:val="es-CO"/>
        </w:rPr>
      </w:pPr>
      <w:r w:rsidRPr="00DF7495">
        <w:rPr>
          <w:bCs/>
          <w:lang w:val="es-CO"/>
        </w:rPr>
        <w:t>L</w:t>
      </w:r>
      <w:r w:rsidRPr="00DF7495">
        <w:rPr>
          <w:lang w:val="es-CO"/>
        </w:rPr>
        <w:t>as sociedades administradoras de FVP deben contar con los procesos</w:t>
      </w:r>
      <w:r w:rsidR="001D7BEA" w:rsidRPr="00DF7495">
        <w:rPr>
          <w:lang w:val="es-CO"/>
        </w:rPr>
        <w:t>,</w:t>
      </w:r>
      <w:r w:rsidRPr="00DF7495">
        <w:rPr>
          <w:lang w:val="es-CO"/>
        </w:rPr>
        <w:t xml:space="preserve"> los recursos físicos y humanos adecuados para adelantar la gestión comercial, operativa, financiera, jurídica, administrativa, de gestión de riesgos y de control interno, entre otr</w:t>
      </w:r>
      <w:r w:rsidR="00EB19BE" w:rsidRPr="00DF7495">
        <w:rPr>
          <w:lang w:val="es-CO"/>
        </w:rPr>
        <w:t>o</w:t>
      </w:r>
      <w:r w:rsidRPr="00DF7495">
        <w:rPr>
          <w:lang w:val="es-CO"/>
        </w:rPr>
        <w:t>s.</w:t>
      </w:r>
    </w:p>
    <w:p w14:paraId="0E0C3400" w14:textId="77777777" w:rsidR="006230E4" w:rsidRPr="00DF7495" w:rsidRDefault="006230E4" w:rsidP="007C1418">
      <w:pPr>
        <w:pBdr>
          <w:left w:val="single" w:sz="4" w:space="1" w:color="auto"/>
        </w:pBdr>
        <w:rPr>
          <w:lang w:val="es-CO"/>
        </w:rPr>
      </w:pPr>
    </w:p>
    <w:p w14:paraId="105E4801" w14:textId="40974013" w:rsidR="006230E4" w:rsidRPr="00DF7495" w:rsidRDefault="006230E4" w:rsidP="007C1418">
      <w:pPr>
        <w:pBdr>
          <w:left w:val="single" w:sz="4" w:space="1" w:color="auto"/>
        </w:pBdr>
        <w:rPr>
          <w:lang w:val="es-CO"/>
        </w:rPr>
      </w:pPr>
      <w:r w:rsidRPr="00DF7495">
        <w:rPr>
          <w:lang w:val="es-CO"/>
        </w:rPr>
        <w:t>Sin perjuicio de lo anterior, los FVP deben tener</w:t>
      </w:r>
      <w:r w:rsidR="00CE33C5" w:rsidRPr="00DF7495">
        <w:rPr>
          <w:lang w:val="es-CO"/>
        </w:rPr>
        <w:t xml:space="preserve">, </w:t>
      </w:r>
      <w:r w:rsidRPr="00DF7495">
        <w:rPr>
          <w:lang w:val="es-CO"/>
        </w:rPr>
        <w:t>como mínimo</w:t>
      </w:r>
      <w:r w:rsidR="00CE33C5" w:rsidRPr="00DF7495">
        <w:rPr>
          <w:lang w:val="es-CO"/>
        </w:rPr>
        <w:t>,</w:t>
      </w:r>
      <w:r w:rsidRPr="00DF7495">
        <w:rPr>
          <w:lang w:val="es-CO"/>
        </w:rPr>
        <w:t xml:space="preserve"> los siguientes órganos:</w:t>
      </w:r>
    </w:p>
    <w:p w14:paraId="7C1DE129" w14:textId="77777777" w:rsidR="006230E4" w:rsidRPr="00DF7495" w:rsidRDefault="006230E4" w:rsidP="007C1418">
      <w:pPr>
        <w:pBdr>
          <w:left w:val="single" w:sz="4" w:space="1" w:color="auto"/>
        </w:pBdr>
        <w:rPr>
          <w:lang w:val="es-CO"/>
        </w:rPr>
      </w:pPr>
    </w:p>
    <w:p w14:paraId="24F9FF2C" w14:textId="25D57778" w:rsidR="00DE2D43" w:rsidRPr="00DF7495" w:rsidRDefault="006230E4" w:rsidP="007C1418">
      <w:pPr>
        <w:pStyle w:val="Ttulo3"/>
        <w:pBdr>
          <w:left w:val="single" w:sz="4" w:space="1" w:color="auto"/>
        </w:pBdr>
        <w:rPr>
          <w:lang w:val="es-CO"/>
        </w:rPr>
      </w:pPr>
      <w:r w:rsidRPr="00DF7495">
        <w:rPr>
          <w:lang w:val="es-CO"/>
        </w:rPr>
        <w:t xml:space="preserve">Comité de </w:t>
      </w:r>
      <w:r w:rsidR="0055573B" w:rsidRPr="00DF7495">
        <w:rPr>
          <w:lang w:val="es-CO"/>
        </w:rPr>
        <w:t>i</w:t>
      </w:r>
      <w:r w:rsidRPr="00DF7495">
        <w:rPr>
          <w:lang w:val="es-CO"/>
        </w:rPr>
        <w:t>nversiones</w:t>
      </w:r>
    </w:p>
    <w:p w14:paraId="391A7FE9" w14:textId="77777777" w:rsidR="00773992" w:rsidRPr="00DF7495" w:rsidRDefault="00773992" w:rsidP="007C1418">
      <w:pPr>
        <w:pBdr>
          <w:left w:val="single" w:sz="4" w:space="1" w:color="auto"/>
        </w:pBdr>
        <w:rPr>
          <w:lang w:val="es-CO"/>
        </w:rPr>
      </w:pPr>
    </w:p>
    <w:p w14:paraId="667C5B08" w14:textId="77777777" w:rsidR="001105B2" w:rsidRPr="00DF7495" w:rsidRDefault="00773992" w:rsidP="007C1418">
      <w:pPr>
        <w:pBdr>
          <w:left w:val="single" w:sz="4" w:space="1" w:color="auto"/>
        </w:pBdr>
        <w:rPr>
          <w:lang w:val="es-CO"/>
        </w:rPr>
      </w:pPr>
      <w:r w:rsidRPr="00DF7495">
        <w:rPr>
          <w:lang w:val="es-CO"/>
        </w:rPr>
        <w:t>Los comités de inversiones de los FVP deben estar conformados por un número impar de miembros</w:t>
      </w:r>
      <w:r w:rsidR="00CC36A5" w:rsidRPr="00DF7495">
        <w:rPr>
          <w:lang w:val="es-CO"/>
        </w:rPr>
        <w:t xml:space="preserve"> designados por la junta directiva</w:t>
      </w:r>
      <w:r w:rsidR="00DE577D" w:rsidRPr="00DF7495">
        <w:rPr>
          <w:lang w:val="es-CO"/>
        </w:rPr>
        <w:t xml:space="preserve"> de la sociedad administradora</w:t>
      </w:r>
      <w:r w:rsidR="00CC36A5" w:rsidRPr="00DF7495">
        <w:rPr>
          <w:lang w:val="es-CO"/>
        </w:rPr>
        <w:t xml:space="preserve"> que acrediten conocimiento y experiencia en las respectivas materias.</w:t>
      </w:r>
      <w:r w:rsidR="00103202" w:rsidRPr="00DF7495">
        <w:rPr>
          <w:lang w:val="es-CO"/>
        </w:rPr>
        <w:t xml:space="preserve"> </w:t>
      </w:r>
    </w:p>
    <w:p w14:paraId="35B80831" w14:textId="77777777" w:rsidR="001105B2" w:rsidRPr="00DF7495" w:rsidRDefault="001105B2" w:rsidP="007C1418">
      <w:pPr>
        <w:pBdr>
          <w:left w:val="single" w:sz="4" w:space="1" w:color="auto"/>
        </w:pBdr>
        <w:rPr>
          <w:lang w:val="es-CO"/>
        </w:rPr>
      </w:pPr>
    </w:p>
    <w:p w14:paraId="2B6AE798" w14:textId="489D68D4" w:rsidR="0021266E" w:rsidRPr="00DF7495" w:rsidRDefault="00626E09" w:rsidP="007C1418">
      <w:pPr>
        <w:pBdr>
          <w:left w:val="single" w:sz="4" w:space="1" w:color="auto"/>
        </w:pBdr>
        <w:rPr>
          <w:lang w:val="es-CO"/>
        </w:rPr>
      </w:pPr>
      <w:r w:rsidRPr="00DF7495">
        <w:rPr>
          <w:lang w:val="es-CO"/>
        </w:rPr>
        <w:t xml:space="preserve">La junta directiva </w:t>
      </w:r>
      <w:r w:rsidR="0021266E" w:rsidRPr="00DF7495">
        <w:rPr>
          <w:lang w:val="es-CO"/>
        </w:rPr>
        <w:t xml:space="preserve">puede definir que las funciones del comité de inversiones del FVP </w:t>
      </w:r>
      <w:r w:rsidR="009B2106">
        <w:rPr>
          <w:lang w:val="es-CO"/>
        </w:rPr>
        <w:t xml:space="preserve">las </w:t>
      </w:r>
      <w:r w:rsidR="0021266E" w:rsidRPr="00DF7495">
        <w:rPr>
          <w:lang w:val="es-CO"/>
        </w:rPr>
        <w:t>desarroll</w:t>
      </w:r>
      <w:r w:rsidR="009B2106">
        <w:rPr>
          <w:lang w:val="es-CO"/>
        </w:rPr>
        <w:t xml:space="preserve">en otros </w:t>
      </w:r>
      <w:r w:rsidR="0021266E" w:rsidRPr="00DF7495">
        <w:rPr>
          <w:lang w:val="es-CO"/>
        </w:rPr>
        <w:t>comités existentes</w:t>
      </w:r>
      <w:r w:rsidR="000B463F" w:rsidRPr="00DF7495">
        <w:rPr>
          <w:lang w:val="es-CO"/>
        </w:rPr>
        <w:t xml:space="preserve"> o que tengan funciones similares respecto de otros productos</w:t>
      </w:r>
      <w:r w:rsidR="0021266E" w:rsidRPr="00DF7495">
        <w:rPr>
          <w:lang w:val="es-CO"/>
        </w:rPr>
        <w:t xml:space="preserve">, </w:t>
      </w:r>
      <w:r w:rsidR="007E46EA" w:rsidRPr="00DF7495">
        <w:rPr>
          <w:lang w:val="es-CO"/>
        </w:rPr>
        <w:t>como</w:t>
      </w:r>
      <w:r w:rsidR="00CE33C5" w:rsidRPr="00DF7495">
        <w:rPr>
          <w:lang w:val="es-CO"/>
        </w:rPr>
        <w:t>,</w:t>
      </w:r>
      <w:r w:rsidR="0025438D" w:rsidRPr="00DF7495">
        <w:rPr>
          <w:lang w:val="es-CO"/>
        </w:rPr>
        <w:t xml:space="preserve"> </w:t>
      </w:r>
      <w:r w:rsidR="0054240A" w:rsidRPr="00DF7495">
        <w:rPr>
          <w:lang w:val="es-CO"/>
        </w:rPr>
        <w:t xml:space="preserve">por ejemplo, </w:t>
      </w:r>
      <w:r w:rsidR="0021266E" w:rsidRPr="00DF7495">
        <w:rPr>
          <w:lang w:val="es-CO"/>
        </w:rPr>
        <w:t>los comité</w:t>
      </w:r>
      <w:r w:rsidR="000554EE" w:rsidRPr="00DF7495">
        <w:rPr>
          <w:lang w:val="es-CO"/>
        </w:rPr>
        <w:t>s</w:t>
      </w:r>
      <w:r w:rsidR="0021266E" w:rsidRPr="00DF7495">
        <w:rPr>
          <w:lang w:val="es-CO"/>
        </w:rPr>
        <w:t xml:space="preserve"> de riesgos y/o inversiones</w:t>
      </w:r>
      <w:r w:rsidR="007A18E1" w:rsidRPr="00DF7495">
        <w:rPr>
          <w:lang w:val="es-CO"/>
        </w:rPr>
        <w:t xml:space="preserve"> </w:t>
      </w:r>
      <w:r w:rsidR="0002249D" w:rsidRPr="00DF7495">
        <w:rPr>
          <w:lang w:val="es-CO"/>
        </w:rPr>
        <w:t>de los</w:t>
      </w:r>
      <w:r w:rsidR="00A3205B">
        <w:rPr>
          <w:lang w:val="es-CO"/>
        </w:rPr>
        <w:t xml:space="preserve"> fondos de pensiones obligatorias</w:t>
      </w:r>
      <w:r w:rsidR="0021266E" w:rsidRPr="00DF7495">
        <w:rPr>
          <w:lang w:val="es-CO"/>
        </w:rPr>
        <w:t xml:space="preserve">. </w:t>
      </w:r>
      <w:r w:rsidR="001D2FFF" w:rsidRPr="00DF7495">
        <w:rPr>
          <w:lang w:val="es-CO"/>
        </w:rPr>
        <w:t xml:space="preserve">En estos casos, se entenderá </w:t>
      </w:r>
      <w:r w:rsidR="00C41907" w:rsidRPr="00DF7495">
        <w:rPr>
          <w:lang w:val="es-CO"/>
        </w:rPr>
        <w:t xml:space="preserve">que </w:t>
      </w:r>
      <w:r w:rsidR="00707F8B" w:rsidRPr="00DF7495">
        <w:rPr>
          <w:lang w:val="es-CO"/>
        </w:rPr>
        <w:t xml:space="preserve">los miembros </w:t>
      </w:r>
      <w:r w:rsidR="00AE011F" w:rsidRPr="00DF7495">
        <w:rPr>
          <w:lang w:val="es-CO"/>
        </w:rPr>
        <w:t xml:space="preserve">de los mencionados </w:t>
      </w:r>
      <w:r w:rsidR="00CE33C5" w:rsidRPr="00DF7495">
        <w:rPr>
          <w:lang w:val="es-CO"/>
        </w:rPr>
        <w:t>órganos</w:t>
      </w:r>
      <w:r w:rsidR="00AE011F" w:rsidRPr="00DF7495">
        <w:rPr>
          <w:lang w:val="es-CO"/>
        </w:rPr>
        <w:t xml:space="preserve"> </w:t>
      </w:r>
      <w:r w:rsidR="00EE2CFC" w:rsidRPr="00DF7495">
        <w:rPr>
          <w:lang w:val="es-CO"/>
        </w:rPr>
        <w:t xml:space="preserve">formarán parte </w:t>
      </w:r>
      <w:r w:rsidR="00CC7256" w:rsidRPr="00DF7495">
        <w:rPr>
          <w:lang w:val="es-CO"/>
        </w:rPr>
        <w:t xml:space="preserve">del </w:t>
      </w:r>
      <w:r w:rsidR="003F2A75" w:rsidRPr="00DF7495">
        <w:rPr>
          <w:lang w:val="es-CO"/>
        </w:rPr>
        <w:t>comité de inversiones del FVP</w:t>
      </w:r>
      <w:r w:rsidR="00C508AE" w:rsidRPr="00DF7495">
        <w:rPr>
          <w:lang w:val="es-CO"/>
        </w:rPr>
        <w:t xml:space="preserve">, independiente de la denominación </w:t>
      </w:r>
      <w:r w:rsidR="000C7B29" w:rsidRPr="00DF7495">
        <w:rPr>
          <w:lang w:val="es-CO"/>
        </w:rPr>
        <w:t xml:space="preserve">de los otros comités. </w:t>
      </w:r>
    </w:p>
    <w:p w14:paraId="47C857FE" w14:textId="77777777" w:rsidR="00774413" w:rsidRPr="00DF7495" w:rsidRDefault="00774413" w:rsidP="007C1418">
      <w:pPr>
        <w:pBdr>
          <w:left w:val="single" w:sz="4" w:space="1" w:color="auto"/>
        </w:pBdr>
        <w:rPr>
          <w:lang w:val="es-CO"/>
        </w:rPr>
      </w:pPr>
    </w:p>
    <w:p w14:paraId="2A2226DF" w14:textId="621648FD" w:rsidR="00774413" w:rsidRPr="00DF7495" w:rsidRDefault="00DF573E" w:rsidP="007C1418">
      <w:pPr>
        <w:pBdr>
          <w:left w:val="single" w:sz="4" w:space="1" w:color="auto"/>
        </w:pBdr>
        <w:rPr>
          <w:lang w:val="es-CO"/>
        </w:rPr>
      </w:pPr>
      <w:r w:rsidRPr="00DF7495">
        <w:rPr>
          <w:lang w:val="es-CO"/>
        </w:rPr>
        <w:t xml:space="preserve">Los </w:t>
      </w:r>
      <w:r w:rsidR="00774413" w:rsidRPr="00DF7495">
        <w:rPr>
          <w:lang w:val="es-CO"/>
        </w:rPr>
        <w:t xml:space="preserve">requisitos </w:t>
      </w:r>
      <w:r w:rsidRPr="00DF7495">
        <w:rPr>
          <w:lang w:val="es-CO"/>
        </w:rPr>
        <w:t xml:space="preserve">para hacer parte de este comité </w:t>
      </w:r>
      <w:r w:rsidR="00774413" w:rsidRPr="00DF7495">
        <w:rPr>
          <w:lang w:val="es-CO"/>
        </w:rPr>
        <w:t xml:space="preserve">deben ser determinados y evaluados por la junta directiva de forma previa a la designación de </w:t>
      </w:r>
      <w:r w:rsidR="00F64D17" w:rsidRPr="00DF7495">
        <w:rPr>
          <w:lang w:val="es-CO"/>
        </w:rPr>
        <w:t>dichos</w:t>
      </w:r>
      <w:r w:rsidR="00774413" w:rsidRPr="00DF7495">
        <w:rPr>
          <w:lang w:val="es-CO"/>
        </w:rPr>
        <w:t xml:space="preserve"> miembros. </w:t>
      </w:r>
      <w:r w:rsidR="00075AAB" w:rsidRPr="00DF7495">
        <w:rPr>
          <w:lang w:val="es-CO"/>
        </w:rPr>
        <w:t>Los</w:t>
      </w:r>
      <w:r w:rsidR="00774413" w:rsidRPr="00DF7495">
        <w:rPr>
          <w:lang w:val="es-CO"/>
        </w:rPr>
        <w:t xml:space="preserve"> comité</w:t>
      </w:r>
      <w:r w:rsidR="00075AAB" w:rsidRPr="00DF7495">
        <w:rPr>
          <w:lang w:val="es-CO"/>
        </w:rPr>
        <w:t>s</w:t>
      </w:r>
      <w:r w:rsidR="00774413" w:rsidRPr="00DF7495">
        <w:rPr>
          <w:lang w:val="es-CO"/>
        </w:rPr>
        <w:t xml:space="preserve"> debe</w:t>
      </w:r>
      <w:r w:rsidR="00075AAB" w:rsidRPr="00DF7495">
        <w:rPr>
          <w:lang w:val="es-CO"/>
        </w:rPr>
        <w:t>n</w:t>
      </w:r>
      <w:r w:rsidR="00774413" w:rsidRPr="00DF7495">
        <w:rPr>
          <w:lang w:val="es-CO"/>
        </w:rPr>
        <w:t xml:space="preserve"> contar </w:t>
      </w:r>
      <w:r w:rsidR="008B51C5">
        <w:rPr>
          <w:lang w:val="es-CO"/>
        </w:rPr>
        <w:t>como mínimo con un</w:t>
      </w:r>
      <w:r w:rsidR="0068505D" w:rsidRPr="00DF7495">
        <w:rPr>
          <w:lang w:val="es-CO"/>
        </w:rPr>
        <w:t xml:space="preserve"> </w:t>
      </w:r>
      <w:r w:rsidR="00774413" w:rsidRPr="00DF7495">
        <w:rPr>
          <w:lang w:val="es-CO"/>
        </w:rPr>
        <w:t xml:space="preserve">miembro que cumpla los supuestos de independencia previstos en el parágrafo 2 </w:t>
      </w:r>
      <w:r w:rsidR="00015FCC" w:rsidRPr="00DF7495">
        <w:rPr>
          <w:lang w:val="es-CO"/>
        </w:rPr>
        <w:t>del</w:t>
      </w:r>
      <w:r w:rsidR="00774413" w:rsidRPr="00DF7495">
        <w:rPr>
          <w:lang w:val="es-CO"/>
        </w:rPr>
        <w:t xml:space="preserve"> artículo 44 de la Ley 964 de 2005</w:t>
      </w:r>
      <w:r w:rsidR="00502B12" w:rsidRPr="00DF7495">
        <w:rPr>
          <w:lang w:val="es-CO"/>
        </w:rPr>
        <w:t>.</w:t>
      </w:r>
      <w:r w:rsidR="00DF6A0F" w:rsidRPr="00DF7495">
        <w:rPr>
          <w:lang w:val="es-CO"/>
        </w:rPr>
        <w:t xml:space="preserve"> </w:t>
      </w:r>
      <w:r w:rsidR="00502B12" w:rsidRPr="00DF7495">
        <w:rPr>
          <w:lang w:val="es-CO"/>
        </w:rPr>
        <w:t>E</w:t>
      </w:r>
      <w:r w:rsidR="00DF6A0F" w:rsidRPr="00DF7495">
        <w:rPr>
          <w:lang w:val="es-CO"/>
        </w:rPr>
        <w:t>n ningún caso</w:t>
      </w:r>
      <w:r w:rsidR="00502B12" w:rsidRPr="00DF7495">
        <w:rPr>
          <w:lang w:val="es-CO"/>
        </w:rPr>
        <w:t xml:space="preserve">, los miembros independientes </w:t>
      </w:r>
      <w:r w:rsidR="00DF6A0F" w:rsidRPr="00DF7495">
        <w:rPr>
          <w:lang w:val="es-CO"/>
        </w:rPr>
        <w:t>podrán tener vínculo</w:t>
      </w:r>
      <w:r w:rsidR="00280965" w:rsidRPr="00DF7495">
        <w:rPr>
          <w:lang w:val="es-CO"/>
        </w:rPr>
        <w:t>s</w:t>
      </w:r>
      <w:r w:rsidR="00DF6A0F" w:rsidRPr="00DF7495">
        <w:rPr>
          <w:lang w:val="es-CO"/>
        </w:rPr>
        <w:t xml:space="preserve"> laboral</w:t>
      </w:r>
      <w:r w:rsidR="00280965" w:rsidRPr="00DF7495">
        <w:rPr>
          <w:lang w:val="es-CO"/>
        </w:rPr>
        <w:t>es</w:t>
      </w:r>
      <w:r w:rsidR="00DF6A0F" w:rsidRPr="00DF7495">
        <w:rPr>
          <w:lang w:val="es-CO"/>
        </w:rPr>
        <w:t xml:space="preserve"> con las entidades locales o internacionales del conglomerado financiero al que pertenecen, si aplica, y/o sus vinculados</w:t>
      </w:r>
      <w:r w:rsidR="00774413" w:rsidRPr="00DF7495">
        <w:rPr>
          <w:lang w:val="es-CO"/>
        </w:rPr>
        <w:t>.</w:t>
      </w:r>
    </w:p>
    <w:p w14:paraId="52526AE6" w14:textId="77777777" w:rsidR="008F49CB" w:rsidRPr="00DF7495" w:rsidRDefault="008F49CB" w:rsidP="007C1418">
      <w:pPr>
        <w:pBdr>
          <w:left w:val="single" w:sz="4" w:space="1" w:color="auto"/>
        </w:pBdr>
        <w:rPr>
          <w:lang w:val="es-CO"/>
        </w:rPr>
      </w:pPr>
    </w:p>
    <w:p w14:paraId="7129B5C3" w14:textId="60546DE0" w:rsidR="000F4BB5" w:rsidRPr="00DF7495" w:rsidRDefault="00D033F3" w:rsidP="007C1418">
      <w:pPr>
        <w:pBdr>
          <w:left w:val="single" w:sz="4" w:space="1" w:color="auto"/>
        </w:pBdr>
        <w:rPr>
          <w:lang w:val="es-CO"/>
        </w:rPr>
      </w:pPr>
      <w:r w:rsidRPr="00DF7495">
        <w:rPr>
          <w:lang w:val="es-CO"/>
        </w:rPr>
        <w:t>En</w:t>
      </w:r>
      <w:r w:rsidR="00B0253D" w:rsidRPr="00DF7495">
        <w:rPr>
          <w:lang w:val="es-CO"/>
        </w:rPr>
        <w:t xml:space="preserve"> la conformación </w:t>
      </w:r>
      <w:r w:rsidR="00B76530" w:rsidRPr="00DF7495">
        <w:rPr>
          <w:lang w:val="es-CO"/>
        </w:rPr>
        <w:t>de</w:t>
      </w:r>
      <w:r w:rsidR="00504F84" w:rsidRPr="00DF7495">
        <w:rPr>
          <w:lang w:val="es-CO"/>
        </w:rPr>
        <w:t xml:space="preserve"> los</w:t>
      </w:r>
      <w:r w:rsidR="00B76530" w:rsidRPr="00DF7495">
        <w:rPr>
          <w:lang w:val="es-CO"/>
        </w:rPr>
        <w:t xml:space="preserve"> comité</w:t>
      </w:r>
      <w:r w:rsidR="00504F84" w:rsidRPr="00DF7495">
        <w:rPr>
          <w:lang w:val="es-CO"/>
        </w:rPr>
        <w:t>s</w:t>
      </w:r>
      <w:r w:rsidR="00B76530" w:rsidRPr="00DF7495">
        <w:rPr>
          <w:lang w:val="es-CO"/>
        </w:rPr>
        <w:t xml:space="preserve"> se </w:t>
      </w:r>
      <w:r w:rsidR="00B0253D" w:rsidRPr="00DF7495">
        <w:rPr>
          <w:lang w:val="es-CO"/>
        </w:rPr>
        <w:t>debe garantizar independencia y segregación de roles</w:t>
      </w:r>
      <w:r w:rsidR="006A779C">
        <w:rPr>
          <w:lang w:val="es-CO"/>
        </w:rPr>
        <w:t>,</w:t>
      </w:r>
      <w:r w:rsidR="00B0253D" w:rsidRPr="00DF7495">
        <w:rPr>
          <w:lang w:val="es-CO"/>
        </w:rPr>
        <w:t xml:space="preserve"> de acuerdo con la estructura organizacional de </w:t>
      </w:r>
      <w:r w:rsidR="006645AA" w:rsidRPr="00DF7495">
        <w:rPr>
          <w:lang w:val="es-CO"/>
        </w:rPr>
        <w:t xml:space="preserve">la </w:t>
      </w:r>
      <w:r w:rsidR="00466E68" w:rsidRPr="00DF7495">
        <w:rPr>
          <w:lang w:val="es-CO"/>
        </w:rPr>
        <w:t>sociedad administradora</w:t>
      </w:r>
      <w:r w:rsidR="00B0253D" w:rsidRPr="00DF7495">
        <w:rPr>
          <w:lang w:val="es-CO"/>
        </w:rPr>
        <w:t xml:space="preserve">. </w:t>
      </w:r>
      <w:r w:rsidR="00C16ECA" w:rsidRPr="00DF7495">
        <w:rPr>
          <w:lang w:val="es-CO"/>
        </w:rPr>
        <w:t>En el caso en que un F</w:t>
      </w:r>
      <w:r w:rsidR="00CA5320" w:rsidRPr="00DF7495">
        <w:rPr>
          <w:lang w:val="es-CO"/>
        </w:rPr>
        <w:t>VP</w:t>
      </w:r>
      <w:r w:rsidR="00C16ECA" w:rsidRPr="00DF7495">
        <w:rPr>
          <w:lang w:val="es-CO"/>
        </w:rPr>
        <w:t xml:space="preserve"> cuente con </w:t>
      </w:r>
      <w:r w:rsidR="00B74092" w:rsidRPr="00DF7495">
        <w:rPr>
          <w:lang w:val="es-CO"/>
        </w:rPr>
        <w:t>más de un</w:t>
      </w:r>
      <w:r w:rsidR="00C16ECA" w:rsidRPr="00DF7495">
        <w:rPr>
          <w:lang w:val="es-CO"/>
        </w:rPr>
        <w:t xml:space="preserve"> comité de inversiones, </w:t>
      </w:r>
      <w:r w:rsidR="00B74092" w:rsidRPr="00DF7495">
        <w:rPr>
          <w:lang w:val="es-CO"/>
        </w:rPr>
        <w:t xml:space="preserve">la sociedad administradora </w:t>
      </w:r>
      <w:r w:rsidR="00C16ECA" w:rsidRPr="00DF7495">
        <w:rPr>
          <w:lang w:val="es-CO"/>
        </w:rPr>
        <w:t>debe establecer l</w:t>
      </w:r>
      <w:r w:rsidR="00504F84" w:rsidRPr="00DF7495">
        <w:rPr>
          <w:lang w:val="es-CO"/>
        </w:rPr>
        <w:t>as funciones que cada comité cumple respecto de los planes, portafolio</w:t>
      </w:r>
      <w:r w:rsidR="00CA5320" w:rsidRPr="00DF7495">
        <w:rPr>
          <w:lang w:val="es-CO"/>
        </w:rPr>
        <w:t>s</w:t>
      </w:r>
      <w:r w:rsidR="00504F84" w:rsidRPr="00DF7495">
        <w:rPr>
          <w:lang w:val="es-CO"/>
        </w:rPr>
        <w:t xml:space="preserve"> y alternativas</w:t>
      </w:r>
      <w:r w:rsidR="00CA5320" w:rsidRPr="00DF7495">
        <w:rPr>
          <w:lang w:val="es-CO"/>
        </w:rPr>
        <w:t xml:space="preserve"> correspondientes</w:t>
      </w:r>
      <w:r w:rsidR="00504F84" w:rsidRPr="00DF7495">
        <w:rPr>
          <w:lang w:val="es-CO"/>
        </w:rPr>
        <w:t>.</w:t>
      </w:r>
    </w:p>
    <w:p w14:paraId="01E9ADEB" w14:textId="77777777" w:rsidR="008F49CB" w:rsidRPr="00DF7495" w:rsidRDefault="008F49CB" w:rsidP="007C1418">
      <w:pPr>
        <w:pBdr>
          <w:left w:val="single" w:sz="4" w:space="1" w:color="auto"/>
        </w:pBdr>
        <w:rPr>
          <w:lang w:val="es-CO"/>
        </w:rPr>
      </w:pPr>
    </w:p>
    <w:p w14:paraId="3BCD6226" w14:textId="29BBB676" w:rsidR="002A0B0D" w:rsidRPr="00DF7495" w:rsidRDefault="000F4BB5" w:rsidP="007C1418">
      <w:pPr>
        <w:pBdr>
          <w:left w:val="single" w:sz="4" w:space="1" w:color="auto"/>
        </w:pBdr>
        <w:rPr>
          <w:lang w:val="es-CO"/>
        </w:rPr>
      </w:pPr>
      <w:r w:rsidRPr="00DF7495">
        <w:rPr>
          <w:color w:val="000000" w:themeColor="text1"/>
          <w:lang w:val="es-CO"/>
        </w:rPr>
        <w:t xml:space="preserve">Adicionalmente, </w:t>
      </w:r>
      <w:r w:rsidRPr="00DF7495">
        <w:rPr>
          <w:lang w:val="es-CO"/>
        </w:rPr>
        <w:t>la junta directiva de la sociedad administradora debe definir las funciones específicas, responsabilidades</w:t>
      </w:r>
      <w:r w:rsidR="00AE3466" w:rsidRPr="00DF7495">
        <w:rPr>
          <w:lang w:val="es-CO"/>
        </w:rPr>
        <w:t xml:space="preserve"> y la forma en que se documentar</w:t>
      </w:r>
      <w:r w:rsidR="00F806F2" w:rsidRPr="00DF7495">
        <w:rPr>
          <w:lang w:val="es-CO"/>
        </w:rPr>
        <w:t>á</w:t>
      </w:r>
      <w:r w:rsidR="00AE3466" w:rsidRPr="00DF7495">
        <w:rPr>
          <w:lang w:val="es-CO"/>
        </w:rPr>
        <w:t xml:space="preserve">n sus decisiones </w:t>
      </w:r>
      <w:r w:rsidRPr="00DF7495">
        <w:rPr>
          <w:lang w:val="es-CO"/>
        </w:rPr>
        <w:t xml:space="preserve">y el </w:t>
      </w:r>
      <w:r w:rsidR="001502D7" w:rsidRPr="00DF7495">
        <w:rPr>
          <w:lang w:val="es-CO"/>
        </w:rPr>
        <w:t xml:space="preserve">reglamento </w:t>
      </w:r>
      <w:r w:rsidRPr="00DF7495">
        <w:rPr>
          <w:lang w:val="es-CO"/>
        </w:rPr>
        <w:t>de funcionamiento de los comités de inversiones.</w:t>
      </w:r>
    </w:p>
    <w:p w14:paraId="26B043E3" w14:textId="77777777" w:rsidR="008F49CB" w:rsidRPr="00DF7495" w:rsidRDefault="008F49CB" w:rsidP="007C1418">
      <w:pPr>
        <w:pBdr>
          <w:left w:val="single" w:sz="4" w:space="1" w:color="auto"/>
        </w:pBdr>
        <w:rPr>
          <w:lang w:val="es-CO"/>
        </w:rPr>
      </w:pPr>
    </w:p>
    <w:p w14:paraId="7B9D14FB" w14:textId="593C0C20" w:rsidR="006230E4" w:rsidRPr="00DF7495" w:rsidRDefault="006230E4" w:rsidP="007C1418">
      <w:pPr>
        <w:pStyle w:val="Ttulo3"/>
        <w:pBdr>
          <w:left w:val="single" w:sz="4" w:space="1" w:color="auto"/>
        </w:pBdr>
        <w:rPr>
          <w:lang w:val="es-CO"/>
        </w:rPr>
      </w:pPr>
      <w:r w:rsidRPr="00DF7495">
        <w:rPr>
          <w:lang w:val="es-CO"/>
        </w:rPr>
        <w:t>Personal encargado de la negociación de operaciones</w:t>
      </w:r>
    </w:p>
    <w:p w14:paraId="27174CD8" w14:textId="77777777" w:rsidR="00DB7BC5" w:rsidRPr="00DF7495" w:rsidRDefault="00DB7BC5" w:rsidP="007C1418">
      <w:pPr>
        <w:pBdr>
          <w:left w:val="single" w:sz="4" w:space="1" w:color="auto"/>
        </w:pBdr>
        <w:rPr>
          <w:lang w:val="es-CO"/>
        </w:rPr>
      </w:pPr>
    </w:p>
    <w:p w14:paraId="1CF43354" w14:textId="296219B8" w:rsidR="00DB7BC5" w:rsidRPr="00DF7495" w:rsidRDefault="00DB7BC5" w:rsidP="007C1418">
      <w:pPr>
        <w:pBdr>
          <w:left w:val="single" w:sz="4" w:space="1" w:color="auto"/>
        </w:pBdr>
        <w:rPr>
          <w:lang w:val="es-CO"/>
        </w:rPr>
      </w:pPr>
      <w:r w:rsidRPr="00DF7495">
        <w:rPr>
          <w:lang w:val="es-CO"/>
        </w:rPr>
        <w:t>Las sociedades administradoras deben contar con el personal requerido para la negociación de las operaciones de los F</w:t>
      </w:r>
      <w:r w:rsidR="00EF142C" w:rsidRPr="00DF7495">
        <w:rPr>
          <w:lang w:val="es-CO"/>
        </w:rPr>
        <w:t>VP</w:t>
      </w:r>
      <w:r w:rsidRPr="00DF7495">
        <w:rPr>
          <w:lang w:val="es-CO"/>
        </w:rPr>
        <w:t>, el cual no t</w:t>
      </w:r>
      <w:r w:rsidR="004E39E7">
        <w:rPr>
          <w:lang w:val="es-CO"/>
        </w:rPr>
        <w:t xml:space="preserve">iene </w:t>
      </w:r>
      <w:r w:rsidRPr="00DF7495">
        <w:rPr>
          <w:lang w:val="es-CO"/>
        </w:rPr>
        <w:t xml:space="preserve">que ser de dedicación exclusiva para cada </w:t>
      </w:r>
      <w:r w:rsidR="00EF142C" w:rsidRPr="00DF7495">
        <w:rPr>
          <w:lang w:val="es-CO"/>
        </w:rPr>
        <w:t>FVP</w:t>
      </w:r>
      <w:r w:rsidR="004259A2">
        <w:rPr>
          <w:lang w:val="es-CO"/>
        </w:rPr>
        <w:t xml:space="preserve">, razón por la cual </w:t>
      </w:r>
      <w:r w:rsidRPr="00DF7495">
        <w:rPr>
          <w:lang w:val="es-CO"/>
        </w:rPr>
        <w:t>pueden desarrollar funciones similares en otros negocios de la sociedad administradora</w:t>
      </w:r>
      <w:r w:rsidR="006F0C88">
        <w:rPr>
          <w:lang w:val="es-CO"/>
        </w:rPr>
        <w:t>.</w:t>
      </w:r>
      <w:r w:rsidR="00D0651F" w:rsidRPr="00DF7495">
        <w:rPr>
          <w:lang w:val="es-CO"/>
        </w:rPr>
        <w:t xml:space="preserve"> </w:t>
      </w:r>
      <w:r w:rsidR="006F0C88">
        <w:rPr>
          <w:lang w:val="es-CO"/>
        </w:rPr>
        <w:t>D</w:t>
      </w:r>
      <w:r w:rsidR="00D0651F" w:rsidRPr="00DF7495">
        <w:rPr>
          <w:lang w:val="es-CO"/>
        </w:rPr>
        <w:t xml:space="preserve">icha situación </w:t>
      </w:r>
      <w:r w:rsidR="006F0C88">
        <w:rPr>
          <w:lang w:val="es-CO"/>
        </w:rPr>
        <w:t xml:space="preserve">se debe informar </w:t>
      </w:r>
      <w:r w:rsidRPr="00DF7495">
        <w:rPr>
          <w:lang w:val="es-CO"/>
        </w:rPr>
        <w:t>en el reglamento del correspondiente F</w:t>
      </w:r>
      <w:r w:rsidR="00822CE9" w:rsidRPr="00DF7495">
        <w:rPr>
          <w:lang w:val="es-CO"/>
        </w:rPr>
        <w:t>VP</w:t>
      </w:r>
      <w:r w:rsidR="00D0651F" w:rsidRPr="00DF7495">
        <w:rPr>
          <w:lang w:val="es-CO"/>
        </w:rPr>
        <w:t>,</w:t>
      </w:r>
      <w:r w:rsidRPr="00DF7495">
        <w:rPr>
          <w:lang w:val="es-CO"/>
        </w:rPr>
        <w:t xml:space="preserve"> y se </w:t>
      </w:r>
      <w:r w:rsidR="00D0651F" w:rsidRPr="00DF7495">
        <w:rPr>
          <w:lang w:val="es-CO"/>
        </w:rPr>
        <w:t xml:space="preserve">deben </w:t>
      </w:r>
      <w:r w:rsidR="0099185A" w:rsidRPr="00DF7495">
        <w:rPr>
          <w:lang w:val="es-CO"/>
        </w:rPr>
        <w:t xml:space="preserve">adoptar </w:t>
      </w:r>
      <w:r w:rsidRPr="00DF7495">
        <w:rPr>
          <w:lang w:val="es-CO"/>
        </w:rPr>
        <w:t xml:space="preserve">políticas y mecanismos para </w:t>
      </w:r>
      <w:r w:rsidR="00A931B0" w:rsidRPr="00DF7495">
        <w:rPr>
          <w:lang w:val="es-CO"/>
        </w:rPr>
        <w:t xml:space="preserve">identificar, </w:t>
      </w:r>
      <w:r w:rsidRPr="00DF7495">
        <w:rPr>
          <w:lang w:val="es-CO"/>
        </w:rPr>
        <w:t>administrar y controlar los</w:t>
      </w:r>
      <w:r w:rsidR="00D00F5E" w:rsidRPr="00DF7495">
        <w:rPr>
          <w:lang w:val="es-CO"/>
        </w:rPr>
        <w:t xml:space="preserve"> riesgos</w:t>
      </w:r>
      <w:r w:rsidR="00155FEB">
        <w:rPr>
          <w:lang w:val="es-CO"/>
        </w:rPr>
        <w:t>,</w:t>
      </w:r>
      <w:r w:rsidR="00D00F5E" w:rsidRPr="00DF7495">
        <w:rPr>
          <w:lang w:val="es-CO"/>
        </w:rPr>
        <w:t xml:space="preserve"> y los</w:t>
      </w:r>
      <w:r w:rsidRPr="00DF7495">
        <w:rPr>
          <w:lang w:val="es-CO"/>
        </w:rPr>
        <w:t xml:space="preserve"> posibles conflictos de interés que </w:t>
      </w:r>
      <w:r w:rsidR="00155FEB">
        <w:rPr>
          <w:lang w:val="es-CO"/>
        </w:rPr>
        <w:t xml:space="preserve">se </w:t>
      </w:r>
      <w:r w:rsidRPr="00DF7495">
        <w:rPr>
          <w:lang w:val="es-CO"/>
        </w:rPr>
        <w:t>pu</w:t>
      </w:r>
      <w:r w:rsidR="00155FEB">
        <w:rPr>
          <w:lang w:val="es-CO"/>
        </w:rPr>
        <w:t>e</w:t>
      </w:r>
      <w:r w:rsidRPr="00DF7495">
        <w:rPr>
          <w:lang w:val="es-CO"/>
        </w:rPr>
        <w:t>d</w:t>
      </w:r>
      <w:r w:rsidR="00155FEB">
        <w:rPr>
          <w:lang w:val="es-CO"/>
        </w:rPr>
        <w:t xml:space="preserve">an </w:t>
      </w:r>
      <w:r w:rsidRPr="00DF7495">
        <w:rPr>
          <w:lang w:val="es-CO"/>
        </w:rPr>
        <w:t xml:space="preserve">generar. </w:t>
      </w:r>
    </w:p>
    <w:p w14:paraId="5F61F15C" w14:textId="77777777" w:rsidR="00DB7BC5" w:rsidRPr="00DF7495" w:rsidRDefault="00DB7BC5" w:rsidP="007C1418">
      <w:pPr>
        <w:pBdr>
          <w:left w:val="single" w:sz="4" w:space="1" w:color="auto"/>
        </w:pBdr>
        <w:rPr>
          <w:lang w:val="es-CO"/>
        </w:rPr>
      </w:pPr>
    </w:p>
    <w:p w14:paraId="3662B8DF" w14:textId="338B3EA3" w:rsidR="00DB7BC5" w:rsidRPr="00DF7495" w:rsidRDefault="00D43B17" w:rsidP="007C1418">
      <w:pPr>
        <w:pBdr>
          <w:left w:val="single" w:sz="4" w:space="1" w:color="auto"/>
        </w:pBdr>
        <w:rPr>
          <w:lang w:val="es-CO"/>
        </w:rPr>
      </w:pPr>
      <w:r>
        <w:rPr>
          <w:lang w:val="es-CO"/>
        </w:rPr>
        <w:t xml:space="preserve">Este personal </w:t>
      </w:r>
      <w:r w:rsidR="00994533">
        <w:rPr>
          <w:lang w:val="es-CO"/>
        </w:rPr>
        <w:t>no</w:t>
      </w:r>
      <w:r w:rsidR="00DB7BC5" w:rsidRPr="00DF7495">
        <w:rPr>
          <w:lang w:val="es-CO"/>
        </w:rPr>
        <w:t xml:space="preserve"> puede participar en las decisiones de inversión de los </w:t>
      </w:r>
      <w:r w:rsidR="002B3A7A" w:rsidRPr="00DF7495">
        <w:rPr>
          <w:lang w:val="es-CO"/>
        </w:rPr>
        <w:t>FVP</w:t>
      </w:r>
      <w:r w:rsidR="00485E62" w:rsidRPr="00DF7495">
        <w:rPr>
          <w:lang w:val="es-CO"/>
        </w:rPr>
        <w:t>,</w:t>
      </w:r>
      <w:r w:rsidR="00001D51" w:rsidRPr="00DF7495">
        <w:rPr>
          <w:lang w:val="es-CO"/>
        </w:rPr>
        <w:t xml:space="preserve"> </w:t>
      </w:r>
      <w:r w:rsidR="00DB7BC5" w:rsidRPr="00DF7495">
        <w:rPr>
          <w:lang w:val="es-CO"/>
        </w:rPr>
        <w:t>de otros productos o vehículos de inversión administrados o gestionados por la sociedad administradora, como tampoco en la toma de decisiones de inversión y/o celebración de operaciones de la cuenta propia y/o recursos propios de la sociedad administradora.</w:t>
      </w:r>
    </w:p>
    <w:p w14:paraId="3446D8B4" w14:textId="77777777" w:rsidR="00DB7BC5" w:rsidRPr="00DF7495" w:rsidRDefault="00DB7BC5" w:rsidP="007C1418">
      <w:pPr>
        <w:pBdr>
          <w:left w:val="single" w:sz="4" w:space="1" w:color="auto"/>
        </w:pBdr>
        <w:rPr>
          <w:lang w:val="es-CO"/>
        </w:rPr>
      </w:pPr>
    </w:p>
    <w:p w14:paraId="67FCF451" w14:textId="29DD7AFF" w:rsidR="006230E4" w:rsidRPr="00DF7495" w:rsidRDefault="006230E4" w:rsidP="007C1418">
      <w:pPr>
        <w:pStyle w:val="Ttulo3"/>
        <w:pBdr>
          <w:left w:val="single" w:sz="4" w:space="1" w:color="auto"/>
        </w:pBdr>
        <w:rPr>
          <w:lang w:val="es-CO"/>
        </w:rPr>
      </w:pPr>
      <w:r w:rsidRPr="00DF7495">
        <w:rPr>
          <w:lang w:val="es-CO"/>
        </w:rPr>
        <w:t>Personal encargado de los procedimientos operativos</w:t>
      </w:r>
    </w:p>
    <w:p w14:paraId="2E54E1FC" w14:textId="77777777" w:rsidR="00DC7CDB" w:rsidRPr="00DF7495" w:rsidRDefault="00DC7CDB" w:rsidP="007C1418">
      <w:pPr>
        <w:pBdr>
          <w:left w:val="single" w:sz="4" w:space="1" w:color="auto"/>
        </w:pBdr>
        <w:rPr>
          <w:lang w:val="es-CO"/>
        </w:rPr>
      </w:pPr>
    </w:p>
    <w:p w14:paraId="05048FC6" w14:textId="221FEB1C" w:rsidR="004547A3" w:rsidRPr="00DF7495" w:rsidRDefault="008E7AE3" w:rsidP="007C1418">
      <w:pPr>
        <w:pBdr>
          <w:left w:val="single" w:sz="4" w:space="1" w:color="auto"/>
        </w:pBdr>
        <w:rPr>
          <w:lang w:val="es-CO"/>
        </w:rPr>
      </w:pPr>
      <w:r w:rsidRPr="00DF7495">
        <w:rPr>
          <w:lang w:val="es-CO"/>
        </w:rPr>
        <w:t xml:space="preserve">Las sociedades administradoras deben </w:t>
      </w:r>
      <w:r w:rsidR="00747E69" w:rsidRPr="00DF7495">
        <w:rPr>
          <w:lang w:val="es-CO"/>
        </w:rPr>
        <w:t xml:space="preserve">contar con el personal requerido para el desarrollo de los procedimientos operativos de los FVP. Esta función puede ser desarrollada por </w:t>
      </w:r>
      <w:r w:rsidR="00713A4B" w:rsidRPr="00DF7495">
        <w:rPr>
          <w:lang w:val="es-CO"/>
        </w:rPr>
        <w:t xml:space="preserve">el </w:t>
      </w:r>
      <w:r w:rsidR="00747E69" w:rsidRPr="00DF7495">
        <w:rPr>
          <w:lang w:val="es-CO"/>
        </w:rPr>
        <w:t>personal de la sociedad administradora dedicado a esta labor. En este evento, la sociedad administradora debe definir</w:t>
      </w:r>
      <w:r w:rsidR="00E62CA8" w:rsidRPr="00DF7495">
        <w:rPr>
          <w:lang w:val="es-CO"/>
        </w:rPr>
        <w:t xml:space="preserve"> y gestionar</w:t>
      </w:r>
      <w:r w:rsidR="00747E69" w:rsidRPr="00DF7495">
        <w:rPr>
          <w:lang w:val="es-CO"/>
        </w:rPr>
        <w:t xml:space="preserve"> claramente los posibles conflictos de interés que puedan surgir, así como su tratamiento.</w:t>
      </w:r>
    </w:p>
    <w:p w14:paraId="32BEFF18" w14:textId="77777777" w:rsidR="00DC7CDB" w:rsidRPr="00DF7495" w:rsidRDefault="00DC7CDB" w:rsidP="007C1418">
      <w:pPr>
        <w:pBdr>
          <w:left w:val="single" w:sz="4" w:space="1" w:color="auto"/>
        </w:pBdr>
        <w:rPr>
          <w:lang w:val="es-CO"/>
        </w:rPr>
      </w:pPr>
    </w:p>
    <w:p w14:paraId="416E28F7" w14:textId="562728AA" w:rsidR="00C94228" w:rsidRPr="00DF7495" w:rsidRDefault="0032253D" w:rsidP="007C1418">
      <w:pPr>
        <w:pStyle w:val="Ttulo2"/>
        <w:pBdr>
          <w:left w:val="single" w:sz="4" w:space="1" w:color="auto"/>
        </w:pBdr>
        <w:rPr>
          <w:lang w:val="es-CO"/>
        </w:rPr>
      </w:pPr>
      <w:r w:rsidRPr="00DF7495">
        <w:rPr>
          <w:lang w:val="es-CO"/>
        </w:rPr>
        <w:t xml:space="preserve">Infraestructura tecnológica y operativa suficiente </w:t>
      </w:r>
      <w:r w:rsidR="00A25130" w:rsidRPr="00DF7495">
        <w:rPr>
          <w:lang w:val="es-CO"/>
        </w:rPr>
        <w:t xml:space="preserve">para administrar el respectivo FVP </w:t>
      </w:r>
    </w:p>
    <w:p w14:paraId="3906F881" w14:textId="77777777" w:rsidR="00363B6B" w:rsidRPr="00DF7495" w:rsidRDefault="00363B6B" w:rsidP="007F45E3">
      <w:pPr>
        <w:pBdr>
          <w:left w:val="single" w:sz="4" w:space="1" w:color="auto"/>
        </w:pBdr>
        <w:rPr>
          <w:lang w:val="es-CO"/>
        </w:rPr>
      </w:pPr>
    </w:p>
    <w:p w14:paraId="255F9C67" w14:textId="7125258E" w:rsidR="00363B6B" w:rsidRPr="00DF7495" w:rsidRDefault="001821D7" w:rsidP="007C1418">
      <w:pPr>
        <w:pStyle w:val="Ttulo3"/>
        <w:pBdr>
          <w:left w:val="single" w:sz="4" w:space="1" w:color="auto"/>
        </w:pBdr>
        <w:rPr>
          <w:lang w:val="es-CO"/>
        </w:rPr>
      </w:pPr>
      <w:r w:rsidRPr="00DF7495">
        <w:rPr>
          <w:lang w:val="es-CO"/>
        </w:rPr>
        <w:t xml:space="preserve">Plan informático </w:t>
      </w:r>
    </w:p>
    <w:p w14:paraId="7A4DBFAE" w14:textId="77777777" w:rsidR="00052CDC" w:rsidRPr="00DF7495" w:rsidRDefault="00052CDC" w:rsidP="007C1418">
      <w:pPr>
        <w:pBdr>
          <w:left w:val="single" w:sz="4" w:space="1" w:color="auto"/>
        </w:pBdr>
        <w:rPr>
          <w:lang w:val="es-CO"/>
        </w:rPr>
      </w:pPr>
    </w:p>
    <w:p w14:paraId="599C1ED6" w14:textId="534029B7" w:rsidR="00052CDC" w:rsidRPr="00DF7495" w:rsidRDefault="00552ADC" w:rsidP="007C1418">
      <w:pPr>
        <w:pBdr>
          <w:left w:val="single" w:sz="4" w:space="1" w:color="auto"/>
        </w:pBdr>
        <w:rPr>
          <w:lang w:val="es-CO"/>
        </w:rPr>
      </w:pPr>
      <w:r w:rsidRPr="00DF7495">
        <w:rPr>
          <w:lang w:val="es-CO"/>
        </w:rPr>
        <w:t>En el plan</w:t>
      </w:r>
      <w:r w:rsidR="007C1F74">
        <w:rPr>
          <w:lang w:val="es-CO"/>
        </w:rPr>
        <w:t xml:space="preserve"> o planes</w:t>
      </w:r>
      <w:r w:rsidRPr="00DF7495">
        <w:rPr>
          <w:lang w:val="es-CO"/>
        </w:rPr>
        <w:t xml:space="preserve"> informático</w:t>
      </w:r>
      <w:r w:rsidR="007C1F74">
        <w:rPr>
          <w:lang w:val="es-CO"/>
        </w:rPr>
        <w:t>s</w:t>
      </w:r>
      <w:r w:rsidRPr="00DF7495">
        <w:rPr>
          <w:lang w:val="es-CO"/>
        </w:rPr>
        <w:t xml:space="preserve"> se</w:t>
      </w:r>
      <w:r w:rsidR="00052CDC" w:rsidRPr="00DF7495">
        <w:rPr>
          <w:lang w:val="es-CO"/>
        </w:rPr>
        <w:t xml:space="preserve"> describen las especificaciones técnicas de los sistemas de información, equipos de cómputo, redes de comunicaciones, centros de procesamiento de datos, seguridad de la información, planes de contingencia</w:t>
      </w:r>
      <w:r w:rsidR="00F826DE" w:rsidRPr="00DF7495">
        <w:rPr>
          <w:lang w:val="es-CO"/>
        </w:rPr>
        <w:t xml:space="preserve">, </w:t>
      </w:r>
      <w:r w:rsidR="00052CDC" w:rsidRPr="00DF7495">
        <w:rPr>
          <w:lang w:val="es-CO"/>
        </w:rPr>
        <w:t>continuidad operativa</w:t>
      </w:r>
      <w:r w:rsidR="00F826DE" w:rsidRPr="00DF7495">
        <w:rPr>
          <w:lang w:val="es-CO"/>
        </w:rPr>
        <w:t xml:space="preserve">, </w:t>
      </w:r>
      <w:r w:rsidR="00052CDC" w:rsidRPr="00DF7495">
        <w:rPr>
          <w:lang w:val="es-CO"/>
        </w:rPr>
        <w:t>y en general</w:t>
      </w:r>
      <w:r w:rsidR="002A111A" w:rsidRPr="00DF7495">
        <w:rPr>
          <w:lang w:val="es-CO"/>
        </w:rPr>
        <w:t>,</w:t>
      </w:r>
      <w:r w:rsidR="00052CDC" w:rsidRPr="00DF7495">
        <w:rPr>
          <w:lang w:val="es-CO"/>
        </w:rPr>
        <w:t xml:space="preserve"> el ambiente informático a utilizar para la administración, gestión y distribución del respectivo FVP, así como, el tiempo requerido para su montaje y puesta en funcionamiento.</w:t>
      </w:r>
    </w:p>
    <w:p w14:paraId="2AA36666" w14:textId="77777777" w:rsidR="00052CDC" w:rsidRPr="00DF7495" w:rsidRDefault="00052CDC" w:rsidP="007F45E3">
      <w:pPr>
        <w:pBdr>
          <w:left w:val="single" w:sz="4" w:space="1" w:color="auto"/>
        </w:pBdr>
        <w:rPr>
          <w:lang w:val="es-CO"/>
        </w:rPr>
      </w:pPr>
    </w:p>
    <w:p w14:paraId="17C898D3" w14:textId="48103CBC" w:rsidR="007D3B46" w:rsidRPr="00DF7495" w:rsidRDefault="00052CDC" w:rsidP="007C1418">
      <w:pPr>
        <w:pStyle w:val="Ttulo3"/>
        <w:pBdr>
          <w:left w:val="single" w:sz="4" w:space="1" w:color="auto"/>
        </w:pBdr>
        <w:rPr>
          <w:lang w:val="es-CO"/>
        </w:rPr>
      </w:pPr>
      <w:r w:rsidRPr="00DF7495">
        <w:rPr>
          <w:lang w:val="es-CO"/>
        </w:rPr>
        <w:lastRenderedPageBreak/>
        <w:t>Sistemas de información</w:t>
      </w:r>
    </w:p>
    <w:p w14:paraId="46E30EA6" w14:textId="77777777" w:rsidR="00445AE1" w:rsidRPr="00DF7495" w:rsidRDefault="00445AE1" w:rsidP="007C1418">
      <w:pPr>
        <w:pStyle w:val="Piedepgina"/>
        <w:pBdr>
          <w:left w:val="single" w:sz="4" w:space="1" w:color="auto"/>
        </w:pBdr>
        <w:tabs>
          <w:tab w:val="clear" w:pos="4252"/>
          <w:tab w:val="clear" w:pos="8504"/>
          <w:tab w:val="center" w:pos="4419"/>
          <w:tab w:val="right" w:pos="9072"/>
        </w:tabs>
        <w:rPr>
          <w:lang w:val="es-CO"/>
        </w:rPr>
      </w:pPr>
    </w:p>
    <w:p w14:paraId="48EF1380" w14:textId="18DE5E10" w:rsidR="00445AE1" w:rsidRDefault="00445AE1" w:rsidP="007C1418">
      <w:pPr>
        <w:pBdr>
          <w:left w:val="single" w:sz="4" w:space="1" w:color="auto"/>
        </w:pBdr>
        <w:rPr>
          <w:lang w:val="es-CO"/>
        </w:rPr>
      </w:pPr>
      <w:r w:rsidRPr="00DF7495">
        <w:rPr>
          <w:lang w:val="es-CO"/>
        </w:rPr>
        <w:t>Los sistemas deben garantizar que la información procesada y generada por ellos cumple</w:t>
      </w:r>
      <w:r w:rsidR="00306E13" w:rsidRPr="00DF7495">
        <w:rPr>
          <w:lang w:val="es-CO"/>
        </w:rPr>
        <w:t>n</w:t>
      </w:r>
      <w:r w:rsidRPr="00DF7495">
        <w:rPr>
          <w:lang w:val="es-CO"/>
        </w:rPr>
        <w:t xml:space="preserve"> con los principios básicos de seguridad y calidad,</w:t>
      </w:r>
      <w:r w:rsidR="006667D1" w:rsidRPr="00DF7495">
        <w:rPr>
          <w:lang w:val="es-CO"/>
        </w:rPr>
        <w:t xml:space="preserve"> </w:t>
      </w:r>
      <w:r w:rsidR="00DD51EC" w:rsidRPr="00DF7495">
        <w:rPr>
          <w:lang w:val="es-CO"/>
        </w:rPr>
        <w:t>y que</w:t>
      </w:r>
      <w:r w:rsidR="006667D1" w:rsidRPr="00DF7495">
        <w:rPr>
          <w:lang w:val="es-CO"/>
        </w:rPr>
        <w:t xml:space="preserve"> </w:t>
      </w:r>
      <w:r w:rsidR="006A3C6F" w:rsidRPr="00DF7495">
        <w:rPr>
          <w:lang w:val="es-CO"/>
        </w:rPr>
        <w:t>cuentan con la</w:t>
      </w:r>
      <w:r w:rsidR="00421A47" w:rsidRPr="00DF7495">
        <w:rPr>
          <w:lang w:val="es-CO"/>
        </w:rPr>
        <w:t xml:space="preserve"> capacidad </w:t>
      </w:r>
      <w:r w:rsidR="006A3C6F" w:rsidRPr="00DF7495">
        <w:rPr>
          <w:lang w:val="es-CO"/>
        </w:rPr>
        <w:t>para</w:t>
      </w:r>
      <w:r w:rsidRPr="00DF7495">
        <w:rPr>
          <w:lang w:val="es-CO"/>
        </w:rPr>
        <w:t xml:space="preserve"> producir los reportes e informes requeridos por la SFC</w:t>
      </w:r>
      <w:r w:rsidR="00486658" w:rsidRPr="00DF7495">
        <w:rPr>
          <w:lang w:val="es-CO"/>
        </w:rPr>
        <w:t>,</w:t>
      </w:r>
      <w:r w:rsidR="003F612F" w:rsidRPr="00DF7495">
        <w:rPr>
          <w:lang w:val="es-CO"/>
        </w:rPr>
        <w:t xml:space="preserve"> </w:t>
      </w:r>
      <w:r w:rsidRPr="00DF7495">
        <w:rPr>
          <w:lang w:val="es-CO"/>
        </w:rPr>
        <w:t>atendiendo las especificaciones técnicas exigidas para tal fin.</w:t>
      </w:r>
    </w:p>
    <w:p w14:paraId="25CB58C4" w14:textId="05191F96" w:rsidR="008D3F46" w:rsidRDefault="008D3F46" w:rsidP="007C1418">
      <w:pPr>
        <w:pBdr>
          <w:left w:val="single" w:sz="4" w:space="1" w:color="auto"/>
        </w:pBdr>
        <w:rPr>
          <w:lang w:val="es-CO"/>
        </w:rPr>
      </w:pPr>
    </w:p>
    <w:p w14:paraId="5FEFCCFC" w14:textId="77777777" w:rsidR="008D3F46" w:rsidRPr="00DF7495" w:rsidRDefault="008D3F46" w:rsidP="007C1418">
      <w:pPr>
        <w:pBdr>
          <w:left w:val="single" w:sz="4" w:space="1" w:color="auto"/>
        </w:pBdr>
        <w:rPr>
          <w:lang w:val="es-CO"/>
        </w:rPr>
      </w:pPr>
      <w:r w:rsidRPr="00DF7495">
        <w:rPr>
          <w:lang w:val="es-CO"/>
        </w:rPr>
        <w:t>La sociedad administradora debe contar con planes de contingencia y continuidad de la operación para prevenir y, en caso de ser necesario, solucionar los problemas, fallas e incidentes que se puedan presentar en los dispositivos de procesamiento y conservación de información que conforman el sistema integral de manejo y procesamiento de la información del FVP.</w:t>
      </w:r>
    </w:p>
    <w:p w14:paraId="16CBEFF1" w14:textId="77777777" w:rsidR="00445AE1" w:rsidRPr="00DF7495" w:rsidRDefault="00445AE1" w:rsidP="007C1418">
      <w:pPr>
        <w:pBdr>
          <w:left w:val="single" w:sz="4" w:space="1" w:color="auto"/>
        </w:pBdr>
        <w:rPr>
          <w:lang w:val="es-CO"/>
        </w:rPr>
      </w:pPr>
    </w:p>
    <w:p w14:paraId="28C0AD3F" w14:textId="36716F93" w:rsidR="00445AE1" w:rsidRPr="00DF7495" w:rsidRDefault="00843002" w:rsidP="007C1418">
      <w:pPr>
        <w:pBdr>
          <w:left w:val="single" w:sz="4" w:space="1" w:color="auto"/>
        </w:pBdr>
        <w:rPr>
          <w:lang w:val="es-CO"/>
        </w:rPr>
      </w:pPr>
      <w:r w:rsidRPr="00DF7495">
        <w:rPr>
          <w:lang w:val="es-CO"/>
        </w:rPr>
        <w:t>Adicionalmente, s</w:t>
      </w:r>
      <w:r w:rsidR="00445AE1" w:rsidRPr="00DF7495">
        <w:rPr>
          <w:lang w:val="es-CO"/>
        </w:rPr>
        <w:t>e requiere contar con un</w:t>
      </w:r>
      <w:r w:rsidR="0004562B" w:rsidRPr="00DF7495">
        <w:rPr>
          <w:lang w:val="es-CO"/>
        </w:rPr>
        <w:t>o o varios</w:t>
      </w:r>
      <w:r w:rsidR="00445AE1" w:rsidRPr="00DF7495">
        <w:rPr>
          <w:lang w:val="es-CO"/>
        </w:rPr>
        <w:t xml:space="preserve"> sistema</w:t>
      </w:r>
      <w:r w:rsidR="0004562B" w:rsidRPr="00DF7495">
        <w:rPr>
          <w:lang w:val="es-CO"/>
        </w:rPr>
        <w:t>s</w:t>
      </w:r>
      <w:r w:rsidR="00D9034B" w:rsidRPr="00DF7495">
        <w:rPr>
          <w:lang w:val="es-CO"/>
        </w:rPr>
        <w:t xml:space="preserve"> básicos</w:t>
      </w:r>
      <w:r w:rsidR="00445AE1" w:rsidRPr="00DF7495">
        <w:rPr>
          <w:lang w:val="es-CO"/>
        </w:rPr>
        <w:t xml:space="preserve"> de información</w:t>
      </w:r>
      <w:r w:rsidRPr="00DF7495">
        <w:rPr>
          <w:lang w:val="es-CO"/>
        </w:rPr>
        <w:t xml:space="preserve"> para el funcionamiento de los FVP</w:t>
      </w:r>
      <w:r w:rsidR="00445AE1" w:rsidRPr="00DF7495">
        <w:rPr>
          <w:lang w:val="es-CO"/>
        </w:rPr>
        <w:t xml:space="preserve">, </w:t>
      </w:r>
      <w:r w:rsidR="001E4B95" w:rsidRPr="00DF7495">
        <w:rPr>
          <w:lang w:val="es-CO"/>
        </w:rPr>
        <w:t xml:space="preserve">los </w:t>
      </w:r>
      <w:r w:rsidR="00A44E31" w:rsidRPr="00DF7495">
        <w:rPr>
          <w:lang w:val="es-CO"/>
        </w:rPr>
        <w:t>cual</w:t>
      </w:r>
      <w:r w:rsidR="001E4B95" w:rsidRPr="00DF7495">
        <w:rPr>
          <w:lang w:val="es-CO"/>
        </w:rPr>
        <w:t>es</w:t>
      </w:r>
      <w:r w:rsidR="00A44E31" w:rsidRPr="00DF7495">
        <w:rPr>
          <w:lang w:val="es-CO"/>
        </w:rPr>
        <w:t xml:space="preserve"> debe</w:t>
      </w:r>
      <w:r w:rsidR="001E4B95" w:rsidRPr="00DF7495">
        <w:rPr>
          <w:lang w:val="es-CO"/>
        </w:rPr>
        <w:t>n</w:t>
      </w:r>
      <w:r w:rsidR="00445AE1" w:rsidRPr="00DF7495">
        <w:rPr>
          <w:lang w:val="es-CO"/>
        </w:rPr>
        <w:t xml:space="preserve"> comprender</w:t>
      </w:r>
      <w:r w:rsidR="00A77C58" w:rsidRPr="00DF7495">
        <w:rPr>
          <w:lang w:val="es-CO"/>
        </w:rPr>
        <w:t>, como mínimo,</w:t>
      </w:r>
      <w:r w:rsidR="00445AE1" w:rsidRPr="00DF7495">
        <w:rPr>
          <w:lang w:val="es-CO"/>
        </w:rPr>
        <w:t xml:space="preserve"> los siguientes: </w:t>
      </w:r>
    </w:p>
    <w:p w14:paraId="00DCDA19" w14:textId="77777777" w:rsidR="00445AE1" w:rsidRPr="00DF7495" w:rsidRDefault="00445AE1" w:rsidP="00642C13">
      <w:pPr>
        <w:pBdr>
          <w:left w:val="single" w:sz="4" w:space="1" w:color="auto"/>
        </w:pBdr>
        <w:rPr>
          <w:lang w:val="es-CO"/>
        </w:rPr>
      </w:pPr>
    </w:p>
    <w:p w14:paraId="51D116CD" w14:textId="5F1066AB" w:rsidR="00445AE1" w:rsidRDefault="00445AE1" w:rsidP="00642C13">
      <w:pPr>
        <w:pStyle w:val="Ttulo4"/>
        <w:pBdr>
          <w:left w:val="single" w:sz="4" w:space="1" w:color="auto"/>
        </w:pBdr>
        <w:ind w:left="0"/>
        <w:rPr>
          <w:lang w:val="es-CO"/>
        </w:rPr>
      </w:pPr>
      <w:r w:rsidRPr="00DF7495">
        <w:rPr>
          <w:lang w:val="es-CO"/>
        </w:rPr>
        <w:t xml:space="preserve">Sistema de gestión contable para el reporte a la SFC de la información contable </w:t>
      </w:r>
      <w:r w:rsidR="005B334B" w:rsidRPr="00DF7495">
        <w:rPr>
          <w:lang w:val="es-CO"/>
        </w:rPr>
        <w:t xml:space="preserve">y de cualquier otra información con fines de supervisión </w:t>
      </w:r>
      <w:r w:rsidRPr="00DF7495">
        <w:rPr>
          <w:lang w:val="es-CO"/>
        </w:rPr>
        <w:t xml:space="preserve">de cada </w:t>
      </w:r>
      <w:r w:rsidR="00ED4004" w:rsidRPr="00DF7495">
        <w:rPr>
          <w:lang w:val="es-CO"/>
        </w:rPr>
        <w:t>portafolio</w:t>
      </w:r>
      <w:r w:rsidR="00B4563C" w:rsidRPr="00DF7495">
        <w:rPr>
          <w:lang w:val="es-CO"/>
        </w:rPr>
        <w:t xml:space="preserve"> del FVP</w:t>
      </w:r>
      <w:r w:rsidRPr="00DF7495">
        <w:rPr>
          <w:lang w:val="es-CO"/>
        </w:rPr>
        <w:t xml:space="preserve"> de manera independiente.</w:t>
      </w:r>
    </w:p>
    <w:p w14:paraId="0B016F7F" w14:textId="77777777" w:rsidR="00B966E5" w:rsidRPr="00B966E5" w:rsidRDefault="00B966E5" w:rsidP="00642C13">
      <w:pPr>
        <w:pStyle w:val="Prrafodelista"/>
        <w:pBdr>
          <w:left w:val="single" w:sz="4" w:space="1" w:color="auto"/>
        </w:pBdr>
        <w:ind w:left="0"/>
        <w:rPr>
          <w:lang w:val="es-CO" w:eastAsia="es-ES"/>
        </w:rPr>
      </w:pPr>
    </w:p>
    <w:p w14:paraId="181261B6" w14:textId="11B3365F" w:rsidR="00386532" w:rsidRPr="00DF7495" w:rsidRDefault="00EE5FFF" w:rsidP="00642C13">
      <w:pPr>
        <w:pStyle w:val="Ttulo4"/>
        <w:pBdr>
          <w:left w:val="single" w:sz="4" w:space="1" w:color="auto"/>
        </w:pBdr>
        <w:ind w:left="0"/>
        <w:rPr>
          <w:lang w:val="es-CO"/>
        </w:rPr>
      </w:pPr>
      <w:r w:rsidRPr="00DF7495">
        <w:rPr>
          <w:lang w:val="es-CO"/>
        </w:rPr>
        <w:t xml:space="preserve">Sistema para valorar </w:t>
      </w:r>
      <w:r w:rsidR="007C1F74">
        <w:rPr>
          <w:lang w:val="es-CO"/>
        </w:rPr>
        <w:t xml:space="preserve">el </w:t>
      </w:r>
      <w:r w:rsidRPr="00DF7495">
        <w:rPr>
          <w:lang w:val="es-CO"/>
        </w:rPr>
        <w:t xml:space="preserve">FVP y sus portafolios. </w:t>
      </w:r>
      <w:r w:rsidR="006560B7" w:rsidRPr="00DF7495">
        <w:rPr>
          <w:lang w:val="es-CO"/>
        </w:rPr>
        <w:t xml:space="preserve">En los casos en que la valoración no haya sido delegada en un tercero autorizado, </w:t>
      </w:r>
      <w:r w:rsidR="00044654" w:rsidRPr="00DF7495">
        <w:rPr>
          <w:lang w:val="es-CO"/>
        </w:rPr>
        <w:t xml:space="preserve">se debe </w:t>
      </w:r>
      <w:r w:rsidR="000D0BCD" w:rsidRPr="00DF7495">
        <w:rPr>
          <w:lang w:val="es-CO"/>
        </w:rPr>
        <w:t>incorporar un s</w:t>
      </w:r>
      <w:r w:rsidR="000F748D" w:rsidRPr="00DF7495">
        <w:rPr>
          <w:lang w:val="es-CO"/>
        </w:rPr>
        <w:t xml:space="preserve">istema </w:t>
      </w:r>
      <w:r w:rsidR="008A5E7E" w:rsidRPr="00DF7495">
        <w:rPr>
          <w:lang w:val="es-CO"/>
        </w:rPr>
        <w:t xml:space="preserve">para </w:t>
      </w:r>
      <w:r w:rsidR="0029366C" w:rsidRPr="00DF7495">
        <w:rPr>
          <w:lang w:val="es-CO"/>
        </w:rPr>
        <w:t>valorar</w:t>
      </w:r>
      <w:r w:rsidR="00B6701B" w:rsidRPr="00DF7495">
        <w:rPr>
          <w:lang w:val="es-CO"/>
        </w:rPr>
        <w:t xml:space="preserve"> de manera</w:t>
      </w:r>
      <w:r w:rsidR="000F748D" w:rsidRPr="00DF7495">
        <w:rPr>
          <w:lang w:val="es-CO"/>
        </w:rPr>
        <w:t xml:space="preserve"> periódica cada F</w:t>
      </w:r>
      <w:r w:rsidR="00A83624" w:rsidRPr="00DF7495">
        <w:rPr>
          <w:lang w:val="es-CO"/>
        </w:rPr>
        <w:t>VP</w:t>
      </w:r>
      <w:r w:rsidR="000F748D" w:rsidRPr="00DF7495">
        <w:rPr>
          <w:lang w:val="es-CO"/>
        </w:rPr>
        <w:t xml:space="preserve">, </w:t>
      </w:r>
      <w:r w:rsidR="00B7141B" w:rsidRPr="00DF7495">
        <w:rPr>
          <w:lang w:val="es-CO"/>
        </w:rPr>
        <w:t>los</w:t>
      </w:r>
      <w:r w:rsidR="000F748D" w:rsidRPr="00DF7495">
        <w:rPr>
          <w:lang w:val="es-CO"/>
        </w:rPr>
        <w:t xml:space="preserve"> </w:t>
      </w:r>
      <w:r w:rsidR="00B377CB" w:rsidRPr="00DF7495">
        <w:rPr>
          <w:lang w:val="es-CO"/>
        </w:rPr>
        <w:t>portafolios</w:t>
      </w:r>
      <w:r w:rsidR="00B7141B" w:rsidRPr="00DF7495">
        <w:rPr>
          <w:lang w:val="es-CO"/>
        </w:rPr>
        <w:t xml:space="preserve"> que los componen</w:t>
      </w:r>
      <w:r w:rsidR="000F748D" w:rsidRPr="00DF7495">
        <w:rPr>
          <w:lang w:val="es-CO"/>
        </w:rPr>
        <w:t xml:space="preserve"> y las unidades que representan l</w:t>
      </w:r>
      <w:r w:rsidR="00223482" w:rsidRPr="00DF7495">
        <w:rPr>
          <w:lang w:val="es-CO"/>
        </w:rPr>
        <w:t>o</w:t>
      </w:r>
      <w:r w:rsidR="000F748D" w:rsidRPr="00DF7495">
        <w:rPr>
          <w:lang w:val="es-CO"/>
        </w:rPr>
        <w:t xml:space="preserve">s </w:t>
      </w:r>
      <w:r w:rsidR="00223482" w:rsidRPr="00DF7495">
        <w:rPr>
          <w:lang w:val="es-CO"/>
        </w:rPr>
        <w:t xml:space="preserve">aportes </w:t>
      </w:r>
      <w:r w:rsidR="00B73D43" w:rsidRPr="00DF7495">
        <w:rPr>
          <w:lang w:val="es-CO"/>
        </w:rPr>
        <w:t xml:space="preserve">de los partícipes y patrocinadores </w:t>
      </w:r>
      <w:r w:rsidR="000D4433" w:rsidRPr="00DF7495">
        <w:rPr>
          <w:lang w:val="es-CO"/>
        </w:rPr>
        <w:t>de este</w:t>
      </w:r>
      <w:r w:rsidR="002F04C2" w:rsidRPr="00DF7495">
        <w:rPr>
          <w:lang w:val="es-CO"/>
        </w:rPr>
        <w:t>. Adicionalmente, este sistema debe contemplar</w:t>
      </w:r>
      <w:r w:rsidR="000F748D" w:rsidRPr="00DF7495">
        <w:rPr>
          <w:lang w:val="es-CO"/>
        </w:rPr>
        <w:t xml:space="preserve"> el registro de la remuneración por administración</w:t>
      </w:r>
      <w:r w:rsidR="00DD20E0" w:rsidRPr="00DF7495">
        <w:rPr>
          <w:lang w:val="es-CO"/>
        </w:rPr>
        <w:t>,</w:t>
      </w:r>
      <w:r w:rsidR="000F748D" w:rsidRPr="00DF7495">
        <w:rPr>
          <w:lang w:val="es-CO"/>
        </w:rPr>
        <w:t xml:space="preserve"> </w:t>
      </w:r>
      <w:r w:rsidR="00522EA6" w:rsidRPr="00DF7495">
        <w:rPr>
          <w:lang w:val="es-CO"/>
        </w:rPr>
        <w:t xml:space="preserve">comisiones, </w:t>
      </w:r>
      <w:r w:rsidR="000F748D" w:rsidRPr="00DF7495">
        <w:rPr>
          <w:lang w:val="es-CO"/>
        </w:rPr>
        <w:t>gastos imputables a los F</w:t>
      </w:r>
      <w:r w:rsidR="0038437E" w:rsidRPr="00DF7495">
        <w:rPr>
          <w:lang w:val="es-CO"/>
        </w:rPr>
        <w:t>VP</w:t>
      </w:r>
      <w:r w:rsidR="00386532" w:rsidRPr="00DF7495">
        <w:rPr>
          <w:lang w:val="es-CO"/>
        </w:rPr>
        <w:t>, entre otros</w:t>
      </w:r>
      <w:r w:rsidR="000F748D" w:rsidRPr="00DF7495">
        <w:rPr>
          <w:lang w:val="es-CO"/>
        </w:rPr>
        <w:t>.</w:t>
      </w:r>
    </w:p>
    <w:p w14:paraId="143B3D1D" w14:textId="77777777" w:rsidR="00386532" w:rsidRPr="00DF7495" w:rsidRDefault="00386532" w:rsidP="00642C13">
      <w:pPr>
        <w:pStyle w:val="Prrafodelista"/>
        <w:pBdr>
          <w:left w:val="single" w:sz="4" w:space="1" w:color="auto"/>
        </w:pBdr>
        <w:ind w:left="0"/>
        <w:rPr>
          <w:lang w:val="es-CO"/>
        </w:rPr>
      </w:pPr>
    </w:p>
    <w:p w14:paraId="5311CC30" w14:textId="5FE9851F" w:rsidR="000F748D" w:rsidRPr="00DF7495" w:rsidRDefault="000F748D" w:rsidP="00642C13">
      <w:pPr>
        <w:pStyle w:val="Ttulo4"/>
        <w:pBdr>
          <w:left w:val="single" w:sz="4" w:space="1" w:color="auto"/>
        </w:pBdr>
        <w:ind w:left="0"/>
        <w:rPr>
          <w:lang w:val="es-CO"/>
        </w:rPr>
      </w:pPr>
      <w:r w:rsidRPr="00DF7495">
        <w:rPr>
          <w:lang w:val="es-CO"/>
        </w:rPr>
        <w:t>Sistemas o mecanismos para el cruce e intercambio de información de</w:t>
      </w:r>
      <w:r w:rsidR="00777AEA">
        <w:rPr>
          <w:lang w:val="es-CO"/>
        </w:rPr>
        <w:t>l</w:t>
      </w:r>
      <w:r w:rsidRPr="00DF7495">
        <w:rPr>
          <w:lang w:val="es-CO"/>
        </w:rPr>
        <w:t xml:space="preserve"> F</w:t>
      </w:r>
      <w:r w:rsidR="00A274C1" w:rsidRPr="00DF7495">
        <w:rPr>
          <w:lang w:val="es-CO"/>
        </w:rPr>
        <w:t>VP</w:t>
      </w:r>
      <w:r w:rsidRPr="00DF7495">
        <w:rPr>
          <w:lang w:val="es-CO"/>
        </w:rPr>
        <w:t xml:space="preserve"> bajo administración</w:t>
      </w:r>
      <w:r w:rsidR="000B2230" w:rsidRPr="00DF7495">
        <w:rPr>
          <w:lang w:val="es-CO"/>
        </w:rPr>
        <w:t xml:space="preserve"> </w:t>
      </w:r>
      <w:r w:rsidRPr="00DF7495">
        <w:rPr>
          <w:lang w:val="es-CO"/>
        </w:rPr>
        <w:t xml:space="preserve">con los demás agentes con los que interactúa la sociedad administradora tales como el custodio, sub-custodios, depósitos centralizados de valores, bolsas de valores, sistemas de negociación de valores y/o sistemas de registro de operaciones sobre valores, sistemas de compensación y liquidación de operaciones sobre valores, intermediarios del mercado de valores, sistemas de pagos, cámaras de riesgo central de contraparte, proveedores de precios y cualquier otro agente que participe </w:t>
      </w:r>
      <w:r w:rsidR="00662B0E">
        <w:rPr>
          <w:lang w:val="es-CO"/>
        </w:rPr>
        <w:t xml:space="preserve">en </w:t>
      </w:r>
      <w:r w:rsidRPr="00DF7495">
        <w:rPr>
          <w:lang w:val="es-CO"/>
        </w:rPr>
        <w:t>el proceso.</w:t>
      </w:r>
    </w:p>
    <w:p w14:paraId="2C03CE98" w14:textId="77777777" w:rsidR="0036181C" w:rsidRPr="00DF7495" w:rsidRDefault="0036181C" w:rsidP="00642C13">
      <w:pPr>
        <w:pStyle w:val="Prrafodelista"/>
        <w:pBdr>
          <w:left w:val="single" w:sz="4" w:space="1" w:color="auto"/>
        </w:pBdr>
        <w:ind w:left="0"/>
        <w:rPr>
          <w:lang w:val="es-CO"/>
        </w:rPr>
      </w:pPr>
    </w:p>
    <w:p w14:paraId="457EC978" w14:textId="15866B0C" w:rsidR="0036181C" w:rsidRPr="00DF7495" w:rsidRDefault="005403AC" w:rsidP="00642C13">
      <w:pPr>
        <w:pBdr>
          <w:left w:val="single" w:sz="4" w:space="1" w:color="auto"/>
        </w:pBdr>
        <w:rPr>
          <w:lang w:val="es-CO"/>
        </w:rPr>
      </w:pPr>
      <w:r w:rsidRPr="00DF7495">
        <w:rPr>
          <w:lang w:val="es-CO"/>
        </w:rPr>
        <w:t xml:space="preserve">En adición al </w:t>
      </w:r>
      <w:r w:rsidR="0036181C" w:rsidRPr="00DF7495">
        <w:rPr>
          <w:lang w:val="es-CO"/>
        </w:rPr>
        <w:t xml:space="preserve">inciso anterior, para los </w:t>
      </w:r>
      <w:r w:rsidR="00161C62" w:rsidRPr="00DF7495">
        <w:rPr>
          <w:lang w:val="es-CO"/>
        </w:rPr>
        <w:t xml:space="preserve">portafolios </w:t>
      </w:r>
      <w:r w:rsidR="0036181C" w:rsidRPr="00DF7495">
        <w:rPr>
          <w:lang w:val="es-CO"/>
        </w:rPr>
        <w:t>que inviert</w:t>
      </w:r>
      <w:r w:rsidR="00662B0E">
        <w:rPr>
          <w:lang w:val="es-CO"/>
        </w:rPr>
        <w:t>an</w:t>
      </w:r>
      <w:r w:rsidR="0036181C" w:rsidRPr="00DF7495">
        <w:rPr>
          <w:lang w:val="es-CO"/>
        </w:rPr>
        <w:t xml:space="preserve"> directa</w:t>
      </w:r>
      <w:r w:rsidR="00B82442" w:rsidRPr="00DF7495">
        <w:rPr>
          <w:lang w:val="es-CO"/>
        </w:rPr>
        <w:t>mente</w:t>
      </w:r>
      <w:r w:rsidR="0036181C" w:rsidRPr="00DF7495">
        <w:rPr>
          <w:lang w:val="es-CO"/>
        </w:rPr>
        <w:t xml:space="preserve"> a través de operaciones de factoring, en títulos valores y/u otros derechos de contenido económico no inscritos en el RNVE, la sociedad administradora debe contar con sistemas o mecanismos para el cruce e intercambio de información con las contrapartes y/o agentes con los que interactúa respecto de la adquisición y/o gestión del portafolio.</w:t>
      </w:r>
      <w:r w:rsidR="00F15F55" w:rsidRPr="00DF7495">
        <w:rPr>
          <w:lang w:val="es-CO"/>
        </w:rPr>
        <w:t xml:space="preserve"> </w:t>
      </w:r>
      <w:r w:rsidR="001E23AA" w:rsidRPr="00DF7495">
        <w:rPr>
          <w:lang w:val="es-CO"/>
        </w:rPr>
        <w:t xml:space="preserve">En todo caso, </w:t>
      </w:r>
      <w:r w:rsidR="00F623D6" w:rsidRPr="00DF7495">
        <w:rPr>
          <w:lang w:val="es-CO"/>
        </w:rPr>
        <w:t>los portafolios que inviert</w:t>
      </w:r>
      <w:r w:rsidR="00662B0E">
        <w:rPr>
          <w:lang w:val="es-CO"/>
        </w:rPr>
        <w:t>an</w:t>
      </w:r>
      <w:r w:rsidR="00F623D6" w:rsidRPr="00DF7495">
        <w:rPr>
          <w:lang w:val="es-CO"/>
        </w:rPr>
        <w:t xml:space="preserve"> indirectamente en este tipo de operaciones </w:t>
      </w:r>
      <w:r w:rsidR="00A2191D" w:rsidRPr="00DF7495">
        <w:rPr>
          <w:lang w:val="es-CO"/>
        </w:rPr>
        <w:t>deben contar con la información necesaria para administrar los riesgos particulares asociados</w:t>
      </w:r>
      <w:r w:rsidR="00911348" w:rsidRPr="00DF7495">
        <w:rPr>
          <w:lang w:val="es-CO"/>
        </w:rPr>
        <w:t xml:space="preserve"> a las mismas</w:t>
      </w:r>
      <w:r w:rsidR="00A2191D" w:rsidRPr="00DF7495">
        <w:rPr>
          <w:lang w:val="es-CO"/>
        </w:rPr>
        <w:t xml:space="preserve">. </w:t>
      </w:r>
    </w:p>
    <w:p w14:paraId="7D40F701" w14:textId="77777777" w:rsidR="0036181C" w:rsidRPr="00DF7495" w:rsidRDefault="0036181C" w:rsidP="00642C13">
      <w:pPr>
        <w:pBdr>
          <w:left w:val="single" w:sz="4" w:space="1" w:color="auto"/>
        </w:pBdr>
        <w:rPr>
          <w:lang w:val="es-CO"/>
        </w:rPr>
      </w:pPr>
    </w:p>
    <w:p w14:paraId="300C5B43" w14:textId="32B666A4" w:rsidR="00363B6B" w:rsidRDefault="00CC0144" w:rsidP="00642C13">
      <w:pPr>
        <w:pStyle w:val="Ttulo4"/>
        <w:pBdr>
          <w:left w:val="single" w:sz="4" w:space="1" w:color="auto"/>
        </w:pBdr>
        <w:ind w:left="0"/>
        <w:rPr>
          <w:lang w:val="es-CO"/>
        </w:rPr>
      </w:pPr>
      <w:r w:rsidRPr="00B02F34">
        <w:rPr>
          <w:lang w:val="es-CO"/>
        </w:rPr>
        <w:t xml:space="preserve">Sistema para el manejo de los </w:t>
      </w:r>
      <w:r w:rsidR="00333843" w:rsidRPr="00B02F34">
        <w:rPr>
          <w:lang w:val="es-CO"/>
        </w:rPr>
        <w:t>partícipes</w:t>
      </w:r>
      <w:r w:rsidR="003D403C" w:rsidRPr="00B02F34">
        <w:rPr>
          <w:lang w:val="es-CO"/>
        </w:rPr>
        <w:t xml:space="preserve"> y patrocinadores</w:t>
      </w:r>
      <w:r w:rsidRPr="00B02F34">
        <w:rPr>
          <w:lang w:val="es-CO"/>
        </w:rPr>
        <w:t>, el cual, entre otros aspectos, debe contemplar</w:t>
      </w:r>
      <w:r w:rsidR="001B5592" w:rsidRPr="00B02F34">
        <w:rPr>
          <w:lang w:val="es-CO"/>
        </w:rPr>
        <w:t>:</w:t>
      </w:r>
      <w:r w:rsidR="0033108F" w:rsidRPr="00B02F34">
        <w:rPr>
          <w:lang w:val="es-CO"/>
        </w:rPr>
        <w:t xml:space="preserve"> el registro de identificación de los </w:t>
      </w:r>
      <w:r w:rsidR="005E65A0" w:rsidRPr="00B02F34">
        <w:rPr>
          <w:lang w:val="es-CO"/>
        </w:rPr>
        <w:t>partícipes</w:t>
      </w:r>
      <w:r w:rsidR="0033108F" w:rsidRPr="00B02F34">
        <w:rPr>
          <w:lang w:val="es-CO"/>
        </w:rPr>
        <w:t xml:space="preserve"> y patrocinadores, el </w:t>
      </w:r>
      <w:r w:rsidR="00B02F34" w:rsidRPr="00B02F34">
        <w:rPr>
          <w:lang w:val="es-CO"/>
        </w:rPr>
        <w:t>registro</w:t>
      </w:r>
      <w:r w:rsidR="0033108F" w:rsidRPr="00B02F34">
        <w:rPr>
          <w:lang w:val="es-CO"/>
        </w:rPr>
        <w:t xml:space="preserve"> de los aportes y/o retiros</w:t>
      </w:r>
      <w:r w:rsidR="0061074F" w:rsidRPr="00B02F34">
        <w:rPr>
          <w:lang w:val="es-CO"/>
        </w:rPr>
        <w:t>, la generación y entrega de información</w:t>
      </w:r>
      <w:r w:rsidR="00B02F34" w:rsidRPr="00B02F34">
        <w:rPr>
          <w:lang w:val="es-CO"/>
        </w:rPr>
        <w:t xml:space="preserve"> a los mismos, y la notificación de las transacciones realizadas. </w:t>
      </w:r>
    </w:p>
    <w:p w14:paraId="0E7C8C26" w14:textId="77777777" w:rsidR="0004631F" w:rsidRPr="0004631F" w:rsidRDefault="0004631F" w:rsidP="00642C13">
      <w:pPr>
        <w:pBdr>
          <w:left w:val="single" w:sz="4" w:space="1" w:color="auto"/>
        </w:pBdr>
        <w:rPr>
          <w:lang w:val="es-CO" w:eastAsia="es-ES"/>
        </w:rPr>
      </w:pPr>
    </w:p>
    <w:p w14:paraId="53364C0B" w14:textId="3F720F9D" w:rsidR="00AF3EB1" w:rsidRPr="00DF7495" w:rsidRDefault="00E75416" w:rsidP="00642C13">
      <w:pPr>
        <w:pStyle w:val="Ttulo4"/>
        <w:pBdr>
          <w:left w:val="single" w:sz="4" w:space="1" w:color="auto"/>
        </w:pBdr>
        <w:ind w:left="0"/>
        <w:rPr>
          <w:lang w:val="es-CO"/>
        </w:rPr>
      </w:pPr>
      <w:r w:rsidRPr="00DF7495">
        <w:rPr>
          <w:lang w:val="es-CO"/>
        </w:rPr>
        <w:t xml:space="preserve">Sistema o mecanismo para la notificación en línea de las transacciones realizadas por los </w:t>
      </w:r>
      <w:r w:rsidR="00680BF0" w:rsidRPr="00DF7495">
        <w:rPr>
          <w:lang w:val="es-CO"/>
        </w:rPr>
        <w:t xml:space="preserve">partícipes y </w:t>
      </w:r>
      <w:r w:rsidR="005F76E5" w:rsidRPr="00DF7495">
        <w:rPr>
          <w:lang w:val="es-CO"/>
        </w:rPr>
        <w:t>patrocinadores</w:t>
      </w:r>
      <w:r w:rsidRPr="00DF7495">
        <w:rPr>
          <w:lang w:val="es-CO"/>
        </w:rPr>
        <w:t xml:space="preserve">. </w:t>
      </w:r>
    </w:p>
    <w:p w14:paraId="53E28833" w14:textId="77777777" w:rsidR="00E75416" w:rsidRPr="00DF7495" w:rsidRDefault="00E75416" w:rsidP="007C1418">
      <w:pPr>
        <w:pBdr>
          <w:left w:val="single" w:sz="4" w:space="1" w:color="auto"/>
        </w:pBdr>
        <w:rPr>
          <w:lang w:val="es-CO"/>
        </w:rPr>
      </w:pPr>
    </w:p>
    <w:p w14:paraId="45FE8C9F" w14:textId="5865B212" w:rsidR="003A6739" w:rsidRPr="00DF7495" w:rsidRDefault="009607E4" w:rsidP="007C1418">
      <w:pPr>
        <w:pStyle w:val="Ttulo2"/>
        <w:pBdr>
          <w:left w:val="single" w:sz="4" w:space="1" w:color="auto"/>
        </w:pBdr>
        <w:rPr>
          <w:lang w:val="es-CO"/>
        </w:rPr>
      </w:pPr>
      <w:r w:rsidRPr="00DF7495">
        <w:rPr>
          <w:lang w:val="es-CO"/>
        </w:rPr>
        <w:t xml:space="preserve">Estructura de control interno </w:t>
      </w:r>
    </w:p>
    <w:p w14:paraId="2A93380F" w14:textId="77777777" w:rsidR="00513719" w:rsidRPr="00DF7495" w:rsidRDefault="00513719" w:rsidP="007C1418">
      <w:pPr>
        <w:pBdr>
          <w:left w:val="single" w:sz="4" w:space="1" w:color="auto"/>
        </w:pBdr>
        <w:rPr>
          <w:lang w:val="es-CO"/>
        </w:rPr>
      </w:pPr>
    </w:p>
    <w:p w14:paraId="009E133D" w14:textId="35949CA1" w:rsidR="00513719" w:rsidRPr="00DF7495" w:rsidRDefault="00513719" w:rsidP="007C1418">
      <w:pPr>
        <w:pBdr>
          <w:left w:val="single" w:sz="4" w:space="1" w:color="auto"/>
        </w:pBdr>
        <w:rPr>
          <w:color w:val="FF0000"/>
          <w:lang w:val="es-CO"/>
        </w:rPr>
      </w:pPr>
      <w:r w:rsidRPr="00DF7495">
        <w:rPr>
          <w:lang w:val="es-CO"/>
        </w:rPr>
        <w:t>La sociedad administradora debe contar con una adecuada estructura de control interno que garantice la debida ejecución de los procedimientos de la actividad de administración</w:t>
      </w:r>
      <w:r w:rsidR="00B40B67">
        <w:rPr>
          <w:lang w:val="es-CO"/>
        </w:rPr>
        <w:t>.</w:t>
      </w:r>
      <w:r w:rsidR="00A17022">
        <w:rPr>
          <w:lang w:val="es-CO"/>
        </w:rPr>
        <w:t xml:space="preserve"> </w:t>
      </w:r>
      <w:r w:rsidR="00B40B67">
        <w:rPr>
          <w:lang w:val="es-CO"/>
        </w:rPr>
        <w:t>N</w:t>
      </w:r>
      <w:r w:rsidRPr="00DF7495">
        <w:rPr>
          <w:lang w:val="es-CO"/>
        </w:rPr>
        <w:t xml:space="preserve">o se requiere la constitución de un área específica para el cumplimiento de este requisito. Sin embargo, la sociedad administradora debe incluir en su propio sistema de control interno el manual o código de control interno respecto de las actividades de </w:t>
      </w:r>
      <w:r w:rsidR="00D47FE3" w:rsidRPr="00DF7495">
        <w:rPr>
          <w:lang w:val="es-CO"/>
        </w:rPr>
        <w:t>administración</w:t>
      </w:r>
      <w:r w:rsidRPr="00DF7495">
        <w:rPr>
          <w:lang w:val="es-CO"/>
        </w:rPr>
        <w:t xml:space="preserve"> de FVP, el cual debe cumplir con las disposiciones establecidas en el </w:t>
      </w:r>
      <w:r w:rsidRPr="00DF7495">
        <w:rPr>
          <w:color w:val="000000" w:themeColor="text1"/>
          <w:lang w:val="es-CO"/>
        </w:rPr>
        <w:t>Capítulo IV</w:t>
      </w:r>
      <w:r w:rsidR="001F4544" w:rsidRPr="00DF7495">
        <w:rPr>
          <w:color w:val="000000" w:themeColor="text1"/>
          <w:lang w:val="es-CO"/>
        </w:rPr>
        <w:t xml:space="preserve"> del </w:t>
      </w:r>
      <w:r w:rsidRPr="00DF7495">
        <w:rPr>
          <w:color w:val="000000" w:themeColor="text1"/>
          <w:lang w:val="es-CO"/>
        </w:rPr>
        <w:t xml:space="preserve">Título I de la Parte I de </w:t>
      </w:r>
      <w:r w:rsidR="00160D14" w:rsidRPr="00DF7495">
        <w:rPr>
          <w:color w:val="000000" w:themeColor="text1"/>
          <w:lang w:val="es-CO"/>
        </w:rPr>
        <w:t>la CBJ</w:t>
      </w:r>
      <w:r w:rsidRPr="00DF7495">
        <w:rPr>
          <w:color w:val="000000" w:themeColor="text1"/>
          <w:lang w:val="es-CO"/>
        </w:rPr>
        <w:t>.</w:t>
      </w:r>
    </w:p>
    <w:p w14:paraId="760AB57F" w14:textId="77777777" w:rsidR="00461F14" w:rsidRPr="00DF7495" w:rsidRDefault="00461F14" w:rsidP="007C1418">
      <w:pPr>
        <w:pBdr>
          <w:left w:val="single" w:sz="4" w:space="1" w:color="auto"/>
        </w:pBdr>
        <w:rPr>
          <w:lang w:val="es-CO"/>
        </w:rPr>
      </w:pPr>
    </w:p>
    <w:p w14:paraId="2573DE35" w14:textId="64DFA6A6" w:rsidR="00216C67" w:rsidRPr="00DF7495" w:rsidRDefault="00D74CF6" w:rsidP="007C1418">
      <w:pPr>
        <w:pStyle w:val="Ttulo2"/>
        <w:pBdr>
          <w:left w:val="single" w:sz="4" w:space="1" w:color="auto"/>
        </w:pBdr>
        <w:rPr>
          <w:lang w:val="es-CO"/>
        </w:rPr>
      </w:pPr>
      <w:r w:rsidRPr="00DF7495">
        <w:rPr>
          <w:lang w:val="es-CO"/>
        </w:rPr>
        <w:t xml:space="preserve">Códigos de </w:t>
      </w:r>
      <w:r w:rsidR="004210F2">
        <w:rPr>
          <w:lang w:val="es-CO"/>
        </w:rPr>
        <w:t>b</w:t>
      </w:r>
      <w:r w:rsidRPr="00DF7495">
        <w:rPr>
          <w:lang w:val="es-CO"/>
        </w:rPr>
        <w:t xml:space="preserve">uen </w:t>
      </w:r>
      <w:r w:rsidR="004210F2">
        <w:rPr>
          <w:lang w:val="es-CO"/>
        </w:rPr>
        <w:t>g</w:t>
      </w:r>
      <w:r w:rsidRPr="00DF7495">
        <w:rPr>
          <w:lang w:val="es-CO"/>
        </w:rPr>
        <w:t xml:space="preserve">obierno </w:t>
      </w:r>
      <w:r w:rsidR="004210F2">
        <w:rPr>
          <w:lang w:val="es-CO"/>
        </w:rPr>
        <w:t>c</w:t>
      </w:r>
      <w:r w:rsidRPr="00DF7495">
        <w:rPr>
          <w:lang w:val="es-CO"/>
        </w:rPr>
        <w:t xml:space="preserve">orporativo </w:t>
      </w:r>
    </w:p>
    <w:p w14:paraId="747867CE" w14:textId="77777777" w:rsidR="00C82C28" w:rsidRPr="00DF7495" w:rsidRDefault="00C82C28" w:rsidP="007F45E3">
      <w:pPr>
        <w:pBdr>
          <w:left w:val="single" w:sz="4" w:space="1" w:color="auto"/>
        </w:pBdr>
        <w:rPr>
          <w:lang w:val="es-CO"/>
        </w:rPr>
      </w:pPr>
    </w:p>
    <w:p w14:paraId="75537736" w14:textId="586AA9E3" w:rsidR="00743509" w:rsidRPr="00DF7495" w:rsidRDefault="00743509" w:rsidP="007C1418">
      <w:pPr>
        <w:pBdr>
          <w:left w:val="single" w:sz="4" w:space="1" w:color="auto"/>
        </w:pBdr>
        <w:rPr>
          <w:lang w:val="es-CO"/>
        </w:rPr>
      </w:pPr>
      <w:r w:rsidRPr="00DF7495">
        <w:rPr>
          <w:lang w:val="es-CO"/>
        </w:rPr>
        <w:t>La sociedad administradora debe incluir en sus códigos de buen gobierno un aparte dedicado a la administración</w:t>
      </w:r>
      <w:r w:rsidR="00135432" w:rsidRPr="00DF7495">
        <w:rPr>
          <w:lang w:val="es-CO"/>
        </w:rPr>
        <w:t xml:space="preserve"> </w:t>
      </w:r>
      <w:r w:rsidR="00A1599A" w:rsidRPr="00DF7495">
        <w:rPr>
          <w:lang w:val="es-CO"/>
        </w:rPr>
        <w:t xml:space="preserve">de </w:t>
      </w:r>
      <w:r w:rsidRPr="00DF7495">
        <w:rPr>
          <w:lang w:val="es-CO"/>
        </w:rPr>
        <w:t>F</w:t>
      </w:r>
      <w:r w:rsidR="00135432" w:rsidRPr="00DF7495">
        <w:rPr>
          <w:lang w:val="es-CO"/>
        </w:rPr>
        <w:t>VP</w:t>
      </w:r>
      <w:r w:rsidRPr="00DF7495">
        <w:rPr>
          <w:lang w:val="es-CO"/>
        </w:rPr>
        <w:t>, con el objetivo de asegurar que tales actividades se encamin</w:t>
      </w:r>
      <w:r w:rsidR="00080A2A" w:rsidRPr="00DF7495">
        <w:rPr>
          <w:lang w:val="es-CO"/>
        </w:rPr>
        <w:t>a</w:t>
      </w:r>
      <w:r w:rsidRPr="00DF7495">
        <w:rPr>
          <w:lang w:val="es-CO"/>
        </w:rPr>
        <w:t>n a la eficiente organización y operación de estos vehículos de inversión.</w:t>
      </w:r>
    </w:p>
    <w:p w14:paraId="1E1141BD" w14:textId="77777777" w:rsidR="00743509" w:rsidRPr="00DF7495" w:rsidRDefault="00743509" w:rsidP="007C1418">
      <w:pPr>
        <w:pBdr>
          <w:left w:val="single" w:sz="4" w:space="1" w:color="auto"/>
        </w:pBdr>
        <w:rPr>
          <w:lang w:val="es-CO"/>
        </w:rPr>
      </w:pPr>
    </w:p>
    <w:p w14:paraId="1713B186" w14:textId="3A838622" w:rsidR="00743509" w:rsidRPr="00DF7495" w:rsidRDefault="00743509" w:rsidP="007C1418">
      <w:pPr>
        <w:pBdr>
          <w:left w:val="single" w:sz="4" w:space="1" w:color="auto"/>
        </w:pBdr>
        <w:rPr>
          <w:lang w:val="es-CO"/>
        </w:rPr>
      </w:pPr>
      <w:r w:rsidRPr="00DF7495">
        <w:rPr>
          <w:lang w:val="es-CO"/>
        </w:rPr>
        <w:t xml:space="preserve">En este orden, el código de buen gobierno debe establecer que los funcionarios que participen en el desarrollo de las actividades de administración </w:t>
      </w:r>
      <w:r w:rsidR="00A1599A" w:rsidRPr="00DF7495">
        <w:rPr>
          <w:lang w:val="es-CO"/>
        </w:rPr>
        <w:t xml:space="preserve">de FVP </w:t>
      </w:r>
      <w:r w:rsidR="00EA07E9">
        <w:rPr>
          <w:lang w:val="es-CO"/>
        </w:rPr>
        <w:t>deben obrar</w:t>
      </w:r>
      <w:r w:rsidRPr="00DF7495">
        <w:rPr>
          <w:lang w:val="es-CO"/>
        </w:rPr>
        <w:t xml:space="preserve"> exclusivamente en el mejor interés de los </w:t>
      </w:r>
      <w:r w:rsidR="00AD6386" w:rsidRPr="00DF7495">
        <w:rPr>
          <w:lang w:val="es-CO"/>
        </w:rPr>
        <w:t>partícipes</w:t>
      </w:r>
      <w:r w:rsidR="00542CC3" w:rsidRPr="00DF7495">
        <w:rPr>
          <w:lang w:val="es-CO"/>
        </w:rPr>
        <w:t xml:space="preserve"> y</w:t>
      </w:r>
      <w:r w:rsidR="002B34DB" w:rsidRPr="00DF7495">
        <w:rPr>
          <w:lang w:val="es-CO"/>
        </w:rPr>
        <w:t xml:space="preserve"> patrocinadores</w:t>
      </w:r>
      <w:r w:rsidRPr="00DF7495">
        <w:rPr>
          <w:lang w:val="es-CO"/>
        </w:rPr>
        <w:t>.</w:t>
      </w:r>
      <w:r w:rsidR="00D55BF8" w:rsidRPr="00DF7495">
        <w:rPr>
          <w:lang w:val="es-CO"/>
        </w:rPr>
        <w:t xml:space="preserve"> Para el efecto, e</w:t>
      </w:r>
      <w:r w:rsidR="00EA07E9">
        <w:rPr>
          <w:lang w:val="es-CO"/>
        </w:rPr>
        <w:t xml:space="preserve">ste </w:t>
      </w:r>
      <w:r w:rsidR="00D55BF8" w:rsidRPr="00DF7495">
        <w:rPr>
          <w:lang w:val="es-CO"/>
        </w:rPr>
        <w:t xml:space="preserve">código </w:t>
      </w:r>
      <w:r w:rsidR="00F34F8E" w:rsidRPr="00DF7495">
        <w:rPr>
          <w:lang w:val="es-CO"/>
        </w:rPr>
        <w:t>debe estar acorde con las políticas de administración y revelación de los conflictos de interés aprobadas por la junta directiva.</w:t>
      </w:r>
    </w:p>
    <w:p w14:paraId="698E2E8E" w14:textId="77777777" w:rsidR="00743509" w:rsidRPr="00DF7495" w:rsidRDefault="00743509" w:rsidP="007C1418">
      <w:pPr>
        <w:pBdr>
          <w:left w:val="single" w:sz="4" w:space="1" w:color="auto"/>
        </w:pBdr>
        <w:rPr>
          <w:lang w:val="es-CO"/>
        </w:rPr>
      </w:pPr>
    </w:p>
    <w:p w14:paraId="0E9CE55D" w14:textId="77777777" w:rsidR="00743509" w:rsidRPr="00DF7495" w:rsidRDefault="00743509" w:rsidP="007C1418">
      <w:pPr>
        <w:pBdr>
          <w:left w:val="single" w:sz="4" w:space="1" w:color="auto"/>
        </w:pBdr>
        <w:rPr>
          <w:lang w:val="es-CO"/>
        </w:rPr>
      </w:pPr>
      <w:r w:rsidRPr="00DF7495">
        <w:rPr>
          <w:lang w:val="es-CO"/>
        </w:rPr>
        <w:t xml:space="preserve">Adicionalmente, en los mencionados códigos de buen gobierno se debe incluir: </w:t>
      </w:r>
    </w:p>
    <w:p w14:paraId="2F49CC94" w14:textId="77777777" w:rsidR="00743509" w:rsidRPr="00DF7495" w:rsidRDefault="00743509" w:rsidP="007C1418">
      <w:pPr>
        <w:pBdr>
          <w:left w:val="single" w:sz="4" w:space="1" w:color="auto"/>
        </w:pBdr>
        <w:rPr>
          <w:lang w:val="es-CO"/>
        </w:rPr>
      </w:pPr>
    </w:p>
    <w:p w14:paraId="0AB10DC5" w14:textId="5A3D5DCD" w:rsidR="004154EA" w:rsidRPr="00DF7495" w:rsidRDefault="00D62D38" w:rsidP="007C1418">
      <w:pPr>
        <w:pStyle w:val="Ttulo3"/>
        <w:pBdr>
          <w:left w:val="single" w:sz="4" w:space="1" w:color="auto"/>
        </w:pBdr>
        <w:rPr>
          <w:lang w:val="es-CO"/>
        </w:rPr>
      </w:pPr>
      <w:r w:rsidRPr="00DF7495">
        <w:rPr>
          <w:lang w:val="es-CO"/>
        </w:rPr>
        <w:t xml:space="preserve">Criterios éticos y de conducta encaminados a preservar los derechos de los partícipes </w:t>
      </w:r>
      <w:r w:rsidR="00375F71" w:rsidRPr="00DF7495">
        <w:rPr>
          <w:lang w:val="es-CO"/>
        </w:rPr>
        <w:t xml:space="preserve">y patrocinadores </w:t>
      </w:r>
      <w:r w:rsidRPr="00DF7495">
        <w:rPr>
          <w:lang w:val="es-CO"/>
        </w:rPr>
        <w:t>de los FVP.</w:t>
      </w:r>
    </w:p>
    <w:p w14:paraId="637AB533" w14:textId="77777777" w:rsidR="00544E13" w:rsidRPr="00DF7495" w:rsidRDefault="00544E13" w:rsidP="007C1418">
      <w:pPr>
        <w:pBdr>
          <w:left w:val="single" w:sz="4" w:space="1" w:color="auto"/>
        </w:pBdr>
        <w:rPr>
          <w:lang w:val="es-CO" w:eastAsia="es-ES"/>
        </w:rPr>
      </w:pPr>
    </w:p>
    <w:p w14:paraId="2BF2B42F" w14:textId="71EB82AD" w:rsidR="00F833D6" w:rsidRPr="00DF7495" w:rsidRDefault="00D62D38" w:rsidP="007C1418">
      <w:pPr>
        <w:pStyle w:val="Ttulo3"/>
        <w:pBdr>
          <w:left w:val="single" w:sz="4" w:space="1" w:color="auto"/>
        </w:pBdr>
        <w:rPr>
          <w:lang w:val="es-CO"/>
        </w:rPr>
      </w:pPr>
      <w:r w:rsidRPr="00DF7495">
        <w:rPr>
          <w:lang w:val="es-CO"/>
        </w:rPr>
        <w:t xml:space="preserve">Reglas claras y concretas que permitan realizar un control a la gestión de los administradores </w:t>
      </w:r>
      <w:r w:rsidR="00D46526" w:rsidRPr="00DF7495">
        <w:rPr>
          <w:lang w:val="es-CO"/>
        </w:rPr>
        <w:t>de los FVP</w:t>
      </w:r>
      <w:r w:rsidR="00E06F4A" w:rsidRPr="00DF7495">
        <w:rPr>
          <w:lang w:val="es-CO"/>
        </w:rPr>
        <w:t xml:space="preserve"> respecto</w:t>
      </w:r>
      <w:r w:rsidRPr="00DF7495">
        <w:rPr>
          <w:lang w:val="es-CO"/>
        </w:rPr>
        <w:t xml:space="preserve"> del cumplimiento de las obligaciones y responsabilidades asignadas, así como del régimen general de prohibiciones.</w:t>
      </w:r>
    </w:p>
    <w:p w14:paraId="3F909034" w14:textId="77777777" w:rsidR="00487CBE" w:rsidRPr="00DF7495" w:rsidRDefault="00487CBE" w:rsidP="007C1418">
      <w:pPr>
        <w:pBdr>
          <w:left w:val="single" w:sz="4" w:space="1" w:color="auto"/>
        </w:pBdr>
        <w:rPr>
          <w:lang w:val="es-CO"/>
        </w:rPr>
      </w:pPr>
    </w:p>
    <w:p w14:paraId="157D7A87" w14:textId="7ECF0AA8" w:rsidR="00DB1217" w:rsidRPr="00DF7495" w:rsidRDefault="00DB1217" w:rsidP="007C1418">
      <w:pPr>
        <w:pStyle w:val="Ttulo2"/>
        <w:pBdr>
          <w:left w:val="single" w:sz="4" w:space="1" w:color="auto"/>
        </w:pBdr>
        <w:rPr>
          <w:lang w:val="es-CO"/>
        </w:rPr>
      </w:pPr>
      <w:r w:rsidRPr="00DF7495">
        <w:rPr>
          <w:lang w:val="es-CO"/>
        </w:rPr>
        <w:t xml:space="preserve">Sistema de gestión y administración de los riesgos </w:t>
      </w:r>
    </w:p>
    <w:p w14:paraId="4A7A2096" w14:textId="77777777" w:rsidR="006F542A" w:rsidRPr="00DF7495" w:rsidRDefault="006F542A" w:rsidP="007C1418">
      <w:pPr>
        <w:pBdr>
          <w:left w:val="single" w:sz="4" w:space="1" w:color="auto"/>
        </w:pBdr>
        <w:rPr>
          <w:lang w:val="es-CO"/>
        </w:rPr>
      </w:pPr>
    </w:p>
    <w:p w14:paraId="50306D35" w14:textId="26664771" w:rsidR="006F542A" w:rsidRPr="00DF7495" w:rsidRDefault="006F542A" w:rsidP="007C1418">
      <w:pPr>
        <w:pBdr>
          <w:left w:val="single" w:sz="4" w:space="1" w:color="auto"/>
        </w:pBdr>
        <w:rPr>
          <w:lang w:val="es-CO"/>
        </w:rPr>
      </w:pPr>
      <w:r w:rsidRPr="00DF7495">
        <w:rPr>
          <w:lang w:val="es-CO"/>
        </w:rPr>
        <w:t xml:space="preserve">Las sociedades administradoras deben contar con un sistema de gestión y administración de riesgos para </w:t>
      </w:r>
      <w:r w:rsidR="00D735AD" w:rsidRPr="00DF7495">
        <w:rPr>
          <w:lang w:val="es-CO"/>
        </w:rPr>
        <w:t xml:space="preserve">los FVP </w:t>
      </w:r>
      <w:r w:rsidRPr="00DF7495">
        <w:rPr>
          <w:lang w:val="es-CO"/>
        </w:rPr>
        <w:t>bajo administración,</w:t>
      </w:r>
      <w:r w:rsidRPr="00DF7495">
        <w:rPr>
          <w:b/>
          <w:lang w:val="es-CO"/>
        </w:rPr>
        <w:t xml:space="preserve"> </w:t>
      </w:r>
      <w:r w:rsidRPr="00DF7495">
        <w:rPr>
          <w:lang w:val="es-CO"/>
        </w:rPr>
        <w:t xml:space="preserve">y pueden emplear el </w:t>
      </w:r>
      <w:r w:rsidR="001A7DC9">
        <w:rPr>
          <w:lang w:val="es-CO"/>
        </w:rPr>
        <w:t xml:space="preserve">que tenga </w:t>
      </w:r>
      <w:r w:rsidRPr="00DF7495">
        <w:rPr>
          <w:lang w:val="es-CO"/>
        </w:rPr>
        <w:t xml:space="preserve">la sociedad administradora para otras líneas de negocios, siempre que reconozca las particularidades de la actividad de los </w:t>
      </w:r>
      <w:r w:rsidR="00D87558" w:rsidRPr="00DF7495">
        <w:rPr>
          <w:lang w:val="es-CO"/>
        </w:rPr>
        <w:t>FVP</w:t>
      </w:r>
      <w:r w:rsidRPr="00DF7495">
        <w:rPr>
          <w:lang w:val="es-CO"/>
        </w:rPr>
        <w:t xml:space="preserve"> bajo administración, junto con sus reglamentos </w:t>
      </w:r>
      <w:r w:rsidR="00C03DF0" w:rsidRPr="00DF7495">
        <w:rPr>
          <w:lang w:val="es-CO"/>
        </w:rPr>
        <w:t xml:space="preserve">de funcionamiento </w:t>
      </w:r>
      <w:r w:rsidRPr="00DF7495">
        <w:rPr>
          <w:lang w:val="es-CO"/>
        </w:rPr>
        <w:t>y políticas de inversión.</w:t>
      </w:r>
    </w:p>
    <w:p w14:paraId="0507FB9B" w14:textId="77777777" w:rsidR="00D87558" w:rsidRPr="00DF7495" w:rsidRDefault="00D87558" w:rsidP="007C1418">
      <w:pPr>
        <w:pBdr>
          <w:left w:val="single" w:sz="4" w:space="1" w:color="auto"/>
        </w:pBdr>
        <w:rPr>
          <w:lang w:val="es-CO"/>
        </w:rPr>
      </w:pPr>
    </w:p>
    <w:p w14:paraId="31179BD3" w14:textId="119916F2" w:rsidR="00D87558" w:rsidRPr="00DF7495" w:rsidRDefault="001A7DC9" w:rsidP="007C1418">
      <w:pPr>
        <w:pBdr>
          <w:left w:val="single" w:sz="4" w:space="1" w:color="auto"/>
        </w:pBdr>
        <w:rPr>
          <w:lang w:val="es-CO"/>
        </w:rPr>
      </w:pPr>
      <w:r>
        <w:rPr>
          <w:lang w:val="es-CO"/>
        </w:rPr>
        <w:t>P</w:t>
      </w:r>
      <w:r w:rsidR="00D87558" w:rsidRPr="00DF7495">
        <w:rPr>
          <w:lang w:val="es-CO"/>
        </w:rPr>
        <w:t xml:space="preserve">ara </w:t>
      </w:r>
      <w:r w:rsidR="008B698D" w:rsidRPr="00DF7495">
        <w:rPr>
          <w:lang w:val="es-CO"/>
        </w:rPr>
        <w:t xml:space="preserve">efectos de </w:t>
      </w:r>
      <w:r w:rsidR="00D87558" w:rsidRPr="00DF7495">
        <w:rPr>
          <w:lang w:val="es-CO"/>
        </w:rPr>
        <w:t>la administración del riesgo de crédito, la sociedad administradora debe incorporar en sus sistemas de gestión y administración de riesgos</w:t>
      </w:r>
      <w:r>
        <w:rPr>
          <w:lang w:val="es-CO"/>
        </w:rPr>
        <w:t>,</w:t>
      </w:r>
      <w:r w:rsidR="00D87558" w:rsidRPr="00DF7495">
        <w:rPr>
          <w:lang w:val="es-CO"/>
        </w:rPr>
        <w:t xml:space="preserve"> </w:t>
      </w:r>
      <w:r w:rsidR="00F17503" w:rsidRPr="00DF7495">
        <w:rPr>
          <w:lang w:val="es-CO"/>
        </w:rPr>
        <w:t>los requisitos exigidos en el subnumeral 1.5. del Capítulo III</w:t>
      </w:r>
      <w:r w:rsidR="00D72039" w:rsidRPr="00DF7495">
        <w:rPr>
          <w:lang w:val="es-CO"/>
        </w:rPr>
        <w:t xml:space="preserve"> del</w:t>
      </w:r>
      <w:r w:rsidR="00F17503" w:rsidRPr="00DF7495">
        <w:rPr>
          <w:lang w:val="es-CO"/>
        </w:rPr>
        <w:t xml:space="preserve"> Título VI</w:t>
      </w:r>
      <w:r w:rsidR="00D72039" w:rsidRPr="00DF7495">
        <w:rPr>
          <w:lang w:val="es-CO"/>
        </w:rPr>
        <w:t xml:space="preserve"> de la </w:t>
      </w:r>
      <w:r w:rsidR="00F17503" w:rsidRPr="00DF7495">
        <w:rPr>
          <w:lang w:val="es-CO"/>
        </w:rPr>
        <w:t xml:space="preserve">Parte III de la CBJ. </w:t>
      </w:r>
    </w:p>
    <w:p w14:paraId="043A6B3B" w14:textId="77777777" w:rsidR="006F542A" w:rsidRPr="00DF7495" w:rsidRDefault="006F542A" w:rsidP="007C1418">
      <w:pPr>
        <w:pBdr>
          <w:left w:val="single" w:sz="4" w:space="1" w:color="auto"/>
        </w:pBdr>
        <w:rPr>
          <w:lang w:val="es-CO"/>
        </w:rPr>
      </w:pPr>
    </w:p>
    <w:p w14:paraId="119875A2" w14:textId="72129CB5" w:rsidR="009110D0" w:rsidRPr="00DF7495" w:rsidRDefault="009757A2" w:rsidP="007C1418">
      <w:pPr>
        <w:pStyle w:val="Ttulo2"/>
        <w:pBdr>
          <w:left w:val="single" w:sz="4" w:space="1" w:color="auto"/>
        </w:pBdr>
        <w:rPr>
          <w:lang w:val="es-CO"/>
        </w:rPr>
      </w:pPr>
      <w:r w:rsidRPr="00DF7495">
        <w:rPr>
          <w:lang w:val="es-CO"/>
        </w:rPr>
        <w:t xml:space="preserve">Custodia </w:t>
      </w:r>
    </w:p>
    <w:p w14:paraId="1AF1582D" w14:textId="77777777" w:rsidR="00A06F73" w:rsidRPr="00DF7495" w:rsidRDefault="00A06F73" w:rsidP="007C1418">
      <w:pPr>
        <w:pBdr>
          <w:left w:val="single" w:sz="4" w:space="1" w:color="auto"/>
        </w:pBdr>
        <w:rPr>
          <w:lang w:val="es-CO" w:eastAsia="es-ES"/>
        </w:rPr>
      </w:pPr>
    </w:p>
    <w:p w14:paraId="6AEB0450" w14:textId="625FFFCA" w:rsidR="006736C8" w:rsidRDefault="009110D0" w:rsidP="007C1418">
      <w:pPr>
        <w:pBdr>
          <w:left w:val="single" w:sz="4" w:space="1" w:color="auto"/>
        </w:pBdr>
        <w:rPr>
          <w:lang w:val="es-CO"/>
        </w:rPr>
      </w:pPr>
      <w:r w:rsidRPr="00DF7495">
        <w:rPr>
          <w:lang w:val="es-CO"/>
        </w:rPr>
        <w:t>Las sociedades administradoras de FVP deben contar con una entidad autorizada por la SFC que preste, como mínimo, los servicios obligatorios de custodia de valores para los portafolios de inversión de los FVP bajo administración, con antelación a la entrada en funcionamiento del respectivo FVP.</w:t>
      </w:r>
      <w:r w:rsidR="00CE48B7" w:rsidRPr="00DF7495">
        <w:rPr>
          <w:lang w:val="es-CO"/>
        </w:rPr>
        <w:t xml:space="preserve"> </w:t>
      </w:r>
      <w:r w:rsidR="00736810" w:rsidRPr="00DF7495">
        <w:rPr>
          <w:lang w:val="es-CO"/>
        </w:rPr>
        <w:t>La actividad de custodia de los valores que conforman los portafolios de</w:t>
      </w:r>
      <w:r w:rsidR="00E76812">
        <w:rPr>
          <w:lang w:val="es-CO"/>
        </w:rPr>
        <w:t>l</w:t>
      </w:r>
      <w:r w:rsidR="00736810" w:rsidRPr="00DF7495">
        <w:rPr>
          <w:lang w:val="es-CO"/>
        </w:rPr>
        <w:t xml:space="preserve"> FVP </w:t>
      </w:r>
      <w:r w:rsidR="00833A2A" w:rsidRPr="00DF7495">
        <w:rPr>
          <w:lang w:val="es-CO"/>
        </w:rPr>
        <w:t xml:space="preserve">se debe realizar </w:t>
      </w:r>
      <w:r w:rsidR="00EB0B4F" w:rsidRPr="00DF7495">
        <w:rPr>
          <w:lang w:val="es-CO"/>
        </w:rPr>
        <w:t>según las mismas reglas aplicables a la custodia de los valores que integran los Fondos de Inversión Colectiva</w:t>
      </w:r>
      <w:r w:rsidR="007F79D2">
        <w:rPr>
          <w:lang w:val="es-CO"/>
        </w:rPr>
        <w:t>.</w:t>
      </w:r>
      <w:r w:rsidR="00014857">
        <w:rPr>
          <w:lang w:val="es-CO"/>
        </w:rPr>
        <w:t xml:space="preserve"> Para ello, l</w:t>
      </w:r>
      <w:r w:rsidR="00E322F8">
        <w:rPr>
          <w:lang w:val="es-CO"/>
        </w:rPr>
        <w:t>a verificac</w:t>
      </w:r>
      <w:r w:rsidR="00953EF9">
        <w:rPr>
          <w:lang w:val="es-CO"/>
        </w:rPr>
        <w:t xml:space="preserve">ión </w:t>
      </w:r>
      <w:r w:rsidR="00C5023A">
        <w:rPr>
          <w:lang w:val="es-CO"/>
        </w:rPr>
        <w:t>del cumplimiento</w:t>
      </w:r>
      <w:r w:rsidR="006736C8">
        <w:rPr>
          <w:lang w:val="es-CO"/>
        </w:rPr>
        <w:t xml:space="preserve"> al que se refiere el parágrafo del artículo 2.37.1.</w:t>
      </w:r>
      <w:r w:rsidR="00C22EF6">
        <w:rPr>
          <w:lang w:val="es-CO"/>
        </w:rPr>
        <w:t xml:space="preserve">1.2 </w:t>
      </w:r>
      <w:r w:rsidR="004E4C59">
        <w:rPr>
          <w:lang w:val="es-CO"/>
        </w:rPr>
        <w:t xml:space="preserve">del Decreto 2555 de 2010 </w:t>
      </w:r>
      <w:r w:rsidR="00C22EF6">
        <w:rPr>
          <w:lang w:val="es-CO"/>
        </w:rPr>
        <w:t>se realiza a nivel de cada uno de los portafolios que compone</w:t>
      </w:r>
      <w:r w:rsidR="002A59C1">
        <w:rPr>
          <w:lang w:val="es-CO"/>
        </w:rPr>
        <w:t>n</w:t>
      </w:r>
      <w:r w:rsidR="00C22EF6">
        <w:rPr>
          <w:lang w:val="es-CO"/>
        </w:rPr>
        <w:t xml:space="preserve"> el FVP</w:t>
      </w:r>
      <w:r w:rsidR="009D00CB">
        <w:rPr>
          <w:lang w:val="es-CO"/>
        </w:rPr>
        <w:t xml:space="preserve"> y sus respectivos prospectos. </w:t>
      </w:r>
    </w:p>
    <w:p w14:paraId="3E481975" w14:textId="77777777" w:rsidR="009110D0" w:rsidRPr="00DF7495" w:rsidRDefault="009110D0" w:rsidP="007C1418">
      <w:pPr>
        <w:pBdr>
          <w:left w:val="single" w:sz="4" w:space="1" w:color="auto"/>
        </w:pBdr>
        <w:rPr>
          <w:lang w:val="es-CO"/>
        </w:rPr>
      </w:pPr>
    </w:p>
    <w:p w14:paraId="648CA050" w14:textId="17E4D089" w:rsidR="009110D0" w:rsidRPr="00DF7495" w:rsidRDefault="00BD1D4A" w:rsidP="007C1418">
      <w:pPr>
        <w:pBdr>
          <w:left w:val="single" w:sz="4" w:space="1" w:color="auto"/>
        </w:pBdr>
        <w:rPr>
          <w:lang w:val="es-CO"/>
        </w:rPr>
      </w:pPr>
      <w:r w:rsidRPr="00DF7495">
        <w:rPr>
          <w:rFonts w:cs="Arial"/>
          <w:szCs w:val="16"/>
          <w:lang w:val="es-CO"/>
        </w:rPr>
        <w:t xml:space="preserve">Para el caso de la contratación de servicios complementarios o especiales </w:t>
      </w:r>
      <w:r w:rsidR="009110D0" w:rsidRPr="00DF7495">
        <w:rPr>
          <w:lang w:val="es-CO"/>
        </w:rPr>
        <w:t xml:space="preserve">con el custodio de valores, </w:t>
      </w:r>
      <w:r w:rsidR="003B6707" w:rsidRPr="00DF7495">
        <w:rPr>
          <w:rFonts w:cs="Arial"/>
          <w:szCs w:val="16"/>
          <w:lang w:val="es-CO"/>
        </w:rPr>
        <w:t>tales como</w:t>
      </w:r>
      <w:r w:rsidR="004E4C59">
        <w:rPr>
          <w:rFonts w:cs="Arial"/>
          <w:szCs w:val="16"/>
          <w:lang w:val="es-CO"/>
        </w:rPr>
        <w:t>,</w:t>
      </w:r>
      <w:r w:rsidR="00420524" w:rsidRPr="00DF7495">
        <w:rPr>
          <w:rFonts w:cs="Arial"/>
          <w:szCs w:val="16"/>
          <w:lang w:val="es-CO"/>
        </w:rPr>
        <w:t xml:space="preserve"> </w:t>
      </w:r>
      <w:r w:rsidR="003B6707" w:rsidRPr="00DF7495">
        <w:rPr>
          <w:rFonts w:cs="Arial"/>
          <w:szCs w:val="16"/>
          <w:lang w:val="es-CO"/>
        </w:rPr>
        <w:t>la realización de la valoración del portafolio o la contabilidad de los FVP</w:t>
      </w:r>
      <w:r w:rsidR="00D9381E" w:rsidRPr="00DF7495">
        <w:rPr>
          <w:rFonts w:cs="Arial"/>
          <w:szCs w:val="16"/>
          <w:lang w:val="es-CO"/>
        </w:rPr>
        <w:t>,</w:t>
      </w:r>
      <w:r w:rsidR="003B6707" w:rsidRPr="00DF7495">
        <w:rPr>
          <w:lang w:val="es-CO"/>
        </w:rPr>
        <w:t xml:space="preserve"> </w:t>
      </w:r>
      <w:r w:rsidR="009110D0" w:rsidRPr="00DF7495">
        <w:rPr>
          <w:lang w:val="es-CO"/>
        </w:rPr>
        <w:t xml:space="preserve">el contrato respectivo debe garantizar que el proveedor de precios para valoración que se utilice sea el que haya sido seleccionado por la sociedad administradora para cada segmento de negocio. </w:t>
      </w:r>
      <w:r w:rsidR="00583189" w:rsidRPr="00DF7495">
        <w:rPr>
          <w:rFonts w:cs="Arial"/>
          <w:szCs w:val="16"/>
          <w:lang w:val="es-CO"/>
        </w:rPr>
        <w:t>Igualmente, en materia de políticas contables, las mismas deben corresponder a las definidas por la sociedad administradora.</w:t>
      </w:r>
    </w:p>
    <w:p w14:paraId="4C0099DC" w14:textId="77777777" w:rsidR="009110D0" w:rsidRPr="00DF7495" w:rsidRDefault="009110D0" w:rsidP="007C1418">
      <w:pPr>
        <w:pBdr>
          <w:left w:val="single" w:sz="4" w:space="1" w:color="auto"/>
        </w:pBdr>
        <w:rPr>
          <w:lang w:val="es-CO"/>
        </w:rPr>
      </w:pPr>
    </w:p>
    <w:p w14:paraId="16B152B1" w14:textId="54EF8AF1" w:rsidR="00E83F9D" w:rsidRPr="00DF7495" w:rsidRDefault="00C16B3C" w:rsidP="007C1418">
      <w:pPr>
        <w:pBdr>
          <w:left w:val="single" w:sz="4" w:space="1" w:color="auto"/>
        </w:pBdr>
        <w:rPr>
          <w:lang w:val="es-CO"/>
        </w:rPr>
      </w:pPr>
      <w:r w:rsidRPr="00DF7495">
        <w:rPr>
          <w:lang w:val="es-CO"/>
        </w:rPr>
        <w:t>Respecto de los</w:t>
      </w:r>
      <w:r w:rsidR="0069425D" w:rsidRPr="00DF7495">
        <w:rPr>
          <w:lang w:val="es-CO"/>
        </w:rPr>
        <w:t xml:space="preserve"> títulos valores y/u otros derechos de contenido económico no inscritos en el RNVE</w:t>
      </w:r>
      <w:r w:rsidR="00BB3B86" w:rsidRPr="00DF7495">
        <w:rPr>
          <w:lang w:val="es-CO"/>
        </w:rPr>
        <w:t>,</w:t>
      </w:r>
      <w:r w:rsidR="0008503F" w:rsidRPr="00DF7495">
        <w:rPr>
          <w:lang w:val="es-CO"/>
        </w:rPr>
        <w:t xml:space="preserve"> la sociedad </w:t>
      </w:r>
      <w:r w:rsidR="00C01A52" w:rsidRPr="00DF7495">
        <w:rPr>
          <w:lang w:val="es-CO"/>
        </w:rPr>
        <w:t>administradora</w:t>
      </w:r>
      <w:r w:rsidR="0008503F" w:rsidRPr="00DF7495">
        <w:rPr>
          <w:lang w:val="es-CO"/>
        </w:rPr>
        <w:t xml:space="preserve"> </w:t>
      </w:r>
      <w:r w:rsidR="00C01A52" w:rsidRPr="00DF7495">
        <w:rPr>
          <w:lang w:val="es-CO"/>
        </w:rPr>
        <w:t>d</w:t>
      </w:r>
      <w:r w:rsidR="0008503F" w:rsidRPr="00DF7495">
        <w:rPr>
          <w:lang w:val="es-CO"/>
        </w:rPr>
        <w:t xml:space="preserve">ebe cumplir con las instrucciones establecidas en el subnumeral </w:t>
      </w:r>
      <w:r w:rsidR="00C01A52" w:rsidRPr="00DF7495">
        <w:rPr>
          <w:lang w:val="es-CO"/>
        </w:rPr>
        <w:t>1.8.2.</w:t>
      </w:r>
      <w:r w:rsidR="0008503F" w:rsidRPr="00DF7495">
        <w:rPr>
          <w:lang w:val="es-CO"/>
        </w:rPr>
        <w:t xml:space="preserve"> del Capítulo III</w:t>
      </w:r>
      <w:r w:rsidR="00C8282F" w:rsidRPr="00DF7495">
        <w:rPr>
          <w:lang w:val="es-CO"/>
        </w:rPr>
        <w:t xml:space="preserve"> del</w:t>
      </w:r>
      <w:r w:rsidR="0008503F" w:rsidRPr="00DF7495">
        <w:rPr>
          <w:lang w:val="es-CO"/>
        </w:rPr>
        <w:t xml:space="preserve"> Título VI</w:t>
      </w:r>
      <w:r w:rsidR="00BB3B86" w:rsidRPr="00DF7495">
        <w:rPr>
          <w:lang w:val="es-CO"/>
        </w:rPr>
        <w:t xml:space="preserve"> de la</w:t>
      </w:r>
      <w:r w:rsidR="0008503F" w:rsidRPr="00DF7495">
        <w:rPr>
          <w:lang w:val="es-CO"/>
        </w:rPr>
        <w:t xml:space="preserve"> Parte III de la CBJ.</w:t>
      </w:r>
    </w:p>
    <w:p w14:paraId="23BCF3EC" w14:textId="77777777" w:rsidR="006D04E1" w:rsidRPr="00DF7495" w:rsidRDefault="006D04E1" w:rsidP="007C1418">
      <w:pPr>
        <w:pBdr>
          <w:left w:val="single" w:sz="4" w:space="1" w:color="auto"/>
        </w:pBdr>
        <w:rPr>
          <w:lang w:val="es-CO"/>
        </w:rPr>
      </w:pPr>
    </w:p>
    <w:p w14:paraId="13D244FA" w14:textId="1C2C17F9" w:rsidR="007F5E61" w:rsidRPr="00DF7495" w:rsidRDefault="00996DF7" w:rsidP="007C1418">
      <w:pPr>
        <w:pStyle w:val="Ttulo2"/>
        <w:pBdr>
          <w:left w:val="single" w:sz="4" w:space="1" w:color="auto"/>
        </w:pBdr>
        <w:rPr>
          <w:rFonts w:cs="Arial"/>
          <w:szCs w:val="16"/>
          <w:lang w:val="es-CO"/>
        </w:rPr>
      </w:pPr>
      <w:r w:rsidRPr="00DF7495">
        <w:rPr>
          <w:lang w:val="es-CO"/>
        </w:rPr>
        <w:t>Revisi</w:t>
      </w:r>
      <w:r w:rsidR="003B0FAB" w:rsidRPr="00DF7495">
        <w:rPr>
          <w:rFonts w:cs="Arial"/>
          <w:szCs w:val="16"/>
          <w:lang w:val="es-CO"/>
        </w:rPr>
        <w:t>ó</w:t>
      </w:r>
      <w:r w:rsidRPr="00DF7495">
        <w:rPr>
          <w:rFonts w:cs="Arial"/>
          <w:szCs w:val="16"/>
          <w:lang w:val="es-CO"/>
        </w:rPr>
        <w:t>n</w:t>
      </w:r>
      <w:r w:rsidR="003B0FAB" w:rsidRPr="00DF7495">
        <w:rPr>
          <w:rFonts w:cs="Arial"/>
          <w:szCs w:val="16"/>
          <w:lang w:val="es-CO"/>
        </w:rPr>
        <w:t xml:space="preserve"> periódica</w:t>
      </w:r>
    </w:p>
    <w:p w14:paraId="24DFF33C" w14:textId="77777777" w:rsidR="00BA40B2" w:rsidRPr="00DF7495" w:rsidRDefault="00BA40B2" w:rsidP="007C1418">
      <w:pPr>
        <w:pBdr>
          <w:left w:val="single" w:sz="4" w:space="1" w:color="auto"/>
        </w:pBdr>
        <w:rPr>
          <w:lang w:val="es-CO"/>
        </w:rPr>
      </w:pPr>
    </w:p>
    <w:p w14:paraId="497874DF" w14:textId="41260017" w:rsidR="004769BB" w:rsidRPr="00DF7495" w:rsidRDefault="00BA40B2" w:rsidP="007C1418">
      <w:pPr>
        <w:pBdr>
          <w:left w:val="single" w:sz="4" w:space="1" w:color="auto"/>
        </w:pBdr>
        <w:rPr>
          <w:lang w:val="es-CO"/>
        </w:rPr>
      </w:pPr>
      <w:r w:rsidRPr="00DF7495">
        <w:rPr>
          <w:lang w:val="es-CO"/>
        </w:rPr>
        <w:t xml:space="preserve">Las entidades </w:t>
      </w:r>
      <w:r w:rsidR="00327828" w:rsidRPr="00DF7495">
        <w:rPr>
          <w:lang w:val="es-CO"/>
        </w:rPr>
        <w:t>administradoras</w:t>
      </w:r>
      <w:r w:rsidRPr="00DF7495">
        <w:rPr>
          <w:lang w:val="es-CO"/>
        </w:rPr>
        <w:t xml:space="preserve"> </w:t>
      </w:r>
      <w:r w:rsidR="00D64F89" w:rsidRPr="00DF7495">
        <w:rPr>
          <w:lang w:val="es-CO"/>
        </w:rPr>
        <w:t xml:space="preserve">deben evaluar periódicamente </w:t>
      </w:r>
      <w:r w:rsidR="00B956E2" w:rsidRPr="00DF7495">
        <w:rPr>
          <w:lang w:val="es-CO"/>
        </w:rPr>
        <w:t>los sistemas, políticas, procedimientos</w:t>
      </w:r>
      <w:r w:rsidR="00360C86" w:rsidRPr="00DF7495">
        <w:rPr>
          <w:lang w:val="es-CO"/>
        </w:rPr>
        <w:t xml:space="preserve">, </w:t>
      </w:r>
      <w:r w:rsidR="00A54326" w:rsidRPr="00DF7495">
        <w:rPr>
          <w:lang w:val="es-CO"/>
        </w:rPr>
        <w:t xml:space="preserve">y </w:t>
      </w:r>
      <w:r w:rsidR="00360C86" w:rsidRPr="00DF7495">
        <w:rPr>
          <w:lang w:val="es-CO"/>
        </w:rPr>
        <w:t xml:space="preserve">códigos </w:t>
      </w:r>
      <w:r w:rsidR="004769BB" w:rsidRPr="00DF7495">
        <w:rPr>
          <w:lang w:val="es-CO"/>
        </w:rPr>
        <w:t xml:space="preserve">en los que se incorporan </w:t>
      </w:r>
      <w:r w:rsidR="000C4F1F" w:rsidRPr="00DF7495">
        <w:rPr>
          <w:lang w:val="es-CO"/>
        </w:rPr>
        <w:t xml:space="preserve">los requisitos para la </w:t>
      </w:r>
      <w:r w:rsidR="00097C75" w:rsidRPr="00DF7495">
        <w:rPr>
          <w:lang w:val="es-CO"/>
        </w:rPr>
        <w:t>administración</w:t>
      </w:r>
      <w:r w:rsidR="000C4F1F" w:rsidRPr="00DF7495">
        <w:rPr>
          <w:lang w:val="es-CO"/>
        </w:rPr>
        <w:t xml:space="preserve"> de FVP</w:t>
      </w:r>
      <w:r w:rsidR="00C47FEB" w:rsidRPr="00DF7495">
        <w:rPr>
          <w:lang w:val="es-CO"/>
        </w:rPr>
        <w:t>, así como el cumplimiento por parte de la entidad,</w:t>
      </w:r>
      <w:r w:rsidR="001522AE" w:rsidRPr="00DF7495">
        <w:rPr>
          <w:lang w:val="es-CO"/>
        </w:rPr>
        <w:t xml:space="preserve"> </w:t>
      </w:r>
      <w:r w:rsidR="00097C75" w:rsidRPr="00DF7495">
        <w:rPr>
          <w:lang w:val="es-CO"/>
        </w:rPr>
        <w:t xml:space="preserve">con el fin de </w:t>
      </w:r>
      <w:r w:rsidR="0011104B" w:rsidRPr="00DF7495">
        <w:rPr>
          <w:lang w:val="es-CO"/>
        </w:rPr>
        <w:t xml:space="preserve">identificar </w:t>
      </w:r>
      <w:r w:rsidR="00822BD4" w:rsidRPr="00DF7495">
        <w:rPr>
          <w:lang w:val="es-CO"/>
        </w:rPr>
        <w:t>fallas</w:t>
      </w:r>
      <w:r w:rsidR="00255B81" w:rsidRPr="00DF7495">
        <w:rPr>
          <w:lang w:val="es-CO"/>
        </w:rPr>
        <w:t xml:space="preserve"> </w:t>
      </w:r>
      <w:r w:rsidR="00B87C27" w:rsidRPr="00DF7495">
        <w:rPr>
          <w:lang w:val="es-CO"/>
        </w:rPr>
        <w:t xml:space="preserve">que requieran </w:t>
      </w:r>
      <w:r w:rsidR="00794DDC" w:rsidRPr="00DF7495">
        <w:rPr>
          <w:lang w:val="es-CO"/>
        </w:rPr>
        <w:t>modificaciones en los mismos.</w:t>
      </w:r>
    </w:p>
    <w:p w14:paraId="775D1BE4" w14:textId="1E3DC06D" w:rsidR="0010746B" w:rsidRDefault="0010746B" w:rsidP="007C1418">
      <w:pPr>
        <w:pBdr>
          <w:left w:val="single" w:sz="4" w:space="1" w:color="auto"/>
        </w:pBdr>
        <w:rPr>
          <w:lang w:val="es-CO"/>
        </w:rPr>
      </w:pPr>
    </w:p>
    <w:p w14:paraId="420BE52C" w14:textId="77777777" w:rsidR="00493D94" w:rsidRPr="00DF7495" w:rsidRDefault="00493D94" w:rsidP="007C1418">
      <w:pPr>
        <w:pBdr>
          <w:left w:val="single" w:sz="4" w:space="1" w:color="auto"/>
        </w:pBdr>
        <w:rPr>
          <w:lang w:val="es-CO"/>
        </w:rPr>
      </w:pPr>
    </w:p>
    <w:p w14:paraId="56E43A55" w14:textId="3E02B1D3" w:rsidR="001E686A" w:rsidRPr="00DF7495" w:rsidRDefault="00E960B1" w:rsidP="007C1418">
      <w:pPr>
        <w:pStyle w:val="Ttulo1"/>
        <w:pBdr>
          <w:left w:val="single" w:sz="4" w:space="1" w:color="auto"/>
        </w:pBdr>
        <w:rPr>
          <w:lang w:val="es-CO"/>
        </w:rPr>
      </w:pPr>
      <w:r w:rsidRPr="00DF7495">
        <w:rPr>
          <w:lang w:val="es-CO"/>
        </w:rPr>
        <w:t>AUTORIZACIONES</w:t>
      </w:r>
    </w:p>
    <w:p w14:paraId="4AAD98A2" w14:textId="77777777" w:rsidR="00702751" w:rsidRPr="00DF7495" w:rsidRDefault="00702751" w:rsidP="007C1418">
      <w:pPr>
        <w:pBdr>
          <w:left w:val="single" w:sz="4" w:space="1" w:color="auto"/>
        </w:pBdr>
        <w:rPr>
          <w:lang w:val="es-CO"/>
        </w:rPr>
      </w:pPr>
    </w:p>
    <w:p w14:paraId="64090B01" w14:textId="1844861B" w:rsidR="00E960B1" w:rsidRPr="00DF7495" w:rsidRDefault="00587E1B" w:rsidP="007C1418">
      <w:pPr>
        <w:pStyle w:val="Ttulo2"/>
        <w:pBdr>
          <w:left w:val="single" w:sz="4" w:space="1" w:color="auto"/>
        </w:pBdr>
        <w:rPr>
          <w:lang w:val="es-CO"/>
        </w:rPr>
      </w:pPr>
      <w:r w:rsidRPr="00DF7495">
        <w:rPr>
          <w:lang w:val="es-CO"/>
        </w:rPr>
        <w:t>Requisitos para autoriza</w:t>
      </w:r>
      <w:r w:rsidR="30BEADB6" w:rsidRPr="00DF7495">
        <w:rPr>
          <w:lang w:val="es-CO"/>
        </w:rPr>
        <w:t>r</w:t>
      </w:r>
      <w:r w:rsidRPr="00DF7495">
        <w:rPr>
          <w:lang w:val="es-CO"/>
        </w:rPr>
        <w:t xml:space="preserve"> </w:t>
      </w:r>
      <w:r w:rsidR="474C008A" w:rsidRPr="00DF7495">
        <w:rPr>
          <w:lang w:val="es-CO"/>
        </w:rPr>
        <w:t xml:space="preserve">la constitución de </w:t>
      </w:r>
      <w:r w:rsidRPr="00DF7495">
        <w:rPr>
          <w:lang w:val="es-CO"/>
        </w:rPr>
        <w:t xml:space="preserve">nuevos </w:t>
      </w:r>
      <w:r w:rsidR="00D73E46" w:rsidRPr="00DF7495">
        <w:rPr>
          <w:lang w:val="es-CO"/>
        </w:rPr>
        <w:t>FVP.</w:t>
      </w:r>
    </w:p>
    <w:p w14:paraId="7F5E69AD" w14:textId="77777777" w:rsidR="00E960B1" w:rsidRPr="00DF7495" w:rsidRDefault="00E960B1" w:rsidP="007C1418">
      <w:pPr>
        <w:pBdr>
          <w:left w:val="single" w:sz="4" w:space="1" w:color="auto"/>
        </w:pBdr>
        <w:rPr>
          <w:lang w:val="es-CO"/>
        </w:rPr>
      </w:pPr>
    </w:p>
    <w:p w14:paraId="11F884F9" w14:textId="1290623B" w:rsidR="00F40A7C" w:rsidRPr="00DF7495" w:rsidRDefault="00DA006B" w:rsidP="00C10EFF">
      <w:pPr>
        <w:pBdr>
          <w:left w:val="single" w:sz="4" w:space="1" w:color="auto"/>
        </w:pBdr>
        <w:rPr>
          <w:lang w:val="es-CO"/>
        </w:rPr>
      </w:pPr>
      <w:r w:rsidRPr="00DF7495">
        <w:rPr>
          <w:lang w:val="es-CO"/>
        </w:rPr>
        <w:t xml:space="preserve">Para la autorización de </w:t>
      </w:r>
      <w:r w:rsidR="00F40A7C" w:rsidRPr="00DF7495">
        <w:rPr>
          <w:lang w:val="es-CO"/>
        </w:rPr>
        <w:t>constitución de nuevos FVP</w:t>
      </w:r>
      <w:r w:rsidR="00C17B30" w:rsidRPr="00DF7495">
        <w:rPr>
          <w:lang w:val="es-CO"/>
        </w:rPr>
        <w:t xml:space="preserve">, la sociedad </w:t>
      </w:r>
      <w:r w:rsidR="005317CB" w:rsidRPr="00DF7495">
        <w:rPr>
          <w:lang w:val="es-CO"/>
        </w:rPr>
        <w:t>administradora</w:t>
      </w:r>
      <w:r w:rsidR="00C17B30" w:rsidRPr="00DF7495">
        <w:rPr>
          <w:lang w:val="es-CO"/>
        </w:rPr>
        <w:t xml:space="preserve"> deberá remitir a esta Superintendencia los </w:t>
      </w:r>
      <w:r w:rsidR="00A91045" w:rsidRPr="00DF7495">
        <w:rPr>
          <w:lang w:val="es-CO"/>
        </w:rPr>
        <w:t xml:space="preserve">siguientes </w:t>
      </w:r>
      <w:r w:rsidR="00C17B30" w:rsidRPr="00DF7495">
        <w:rPr>
          <w:lang w:val="es-CO"/>
        </w:rPr>
        <w:t>documentos</w:t>
      </w:r>
      <w:r w:rsidR="496E96A0" w:rsidRPr="00DF7495">
        <w:rPr>
          <w:lang w:val="es-CO"/>
        </w:rPr>
        <w:t>:</w:t>
      </w:r>
    </w:p>
    <w:p w14:paraId="42B8D1AE" w14:textId="77777777" w:rsidR="007F2277" w:rsidRPr="00DF7495" w:rsidRDefault="007F2277" w:rsidP="00C10EFF">
      <w:pPr>
        <w:pBdr>
          <w:left w:val="single" w:sz="4" w:space="1" w:color="auto"/>
        </w:pBdr>
        <w:rPr>
          <w:lang w:val="es-CO"/>
        </w:rPr>
      </w:pPr>
    </w:p>
    <w:p w14:paraId="2905E2C9" w14:textId="46C00F05" w:rsidR="00DB0333" w:rsidRPr="000C564A" w:rsidRDefault="00A61461" w:rsidP="00C10EFF">
      <w:pPr>
        <w:pStyle w:val="Ttulo3"/>
        <w:pBdr>
          <w:left w:val="single" w:sz="4" w:space="1" w:color="auto"/>
        </w:pBdr>
        <w:rPr>
          <w:rFonts w:cs="Arial"/>
          <w:lang w:val="es-CO"/>
        </w:rPr>
      </w:pPr>
      <w:r w:rsidRPr="00DF7495">
        <w:rPr>
          <w:lang w:val="es-CO"/>
        </w:rPr>
        <w:t>Modelo de</w:t>
      </w:r>
      <w:r w:rsidR="00EE385B" w:rsidRPr="00DF7495">
        <w:rPr>
          <w:lang w:val="es-CO"/>
        </w:rPr>
        <w:t>l</w:t>
      </w:r>
      <w:r w:rsidRPr="00DF7495">
        <w:rPr>
          <w:lang w:val="es-CO"/>
        </w:rPr>
        <w:t xml:space="preserve"> reglamento de funcionamiento del Fondo Voluntario de Pensión</w:t>
      </w:r>
      <w:r w:rsidR="00D22651" w:rsidRPr="00DF7495">
        <w:rPr>
          <w:lang w:val="es-CO"/>
        </w:rPr>
        <w:t xml:space="preserve">, </w:t>
      </w:r>
      <w:r w:rsidR="005813A7" w:rsidRPr="00DF7495">
        <w:rPr>
          <w:lang w:val="es-CO"/>
        </w:rPr>
        <w:t xml:space="preserve">el cual debe cumplir con el contenido </w:t>
      </w:r>
      <w:r w:rsidR="005813A7" w:rsidRPr="00DF7495">
        <w:rPr>
          <w:rFonts w:cs="Arial"/>
          <w:lang w:val="es-CO"/>
        </w:rPr>
        <w:t xml:space="preserve">mínimo establecido en </w:t>
      </w:r>
      <w:r w:rsidR="000C564A">
        <w:t>Libro 42 de la Parte 2 del Decreto y el subnumeral 5.2 del presente Capítulo</w:t>
      </w:r>
      <w:r w:rsidR="2F9C20CC" w:rsidRPr="000C564A">
        <w:rPr>
          <w:rFonts w:cs="Arial"/>
          <w:lang w:val="es-CO"/>
        </w:rPr>
        <w:t>.</w:t>
      </w:r>
      <w:r w:rsidR="00D22651" w:rsidRPr="000C564A">
        <w:rPr>
          <w:rFonts w:cs="Arial"/>
          <w:lang w:val="es-CO"/>
        </w:rPr>
        <w:t xml:space="preserve"> </w:t>
      </w:r>
      <w:r w:rsidR="009375A6" w:rsidRPr="000C564A">
        <w:rPr>
          <w:rFonts w:cs="Arial"/>
          <w:lang w:val="es-CO"/>
        </w:rPr>
        <w:t>En caso de que</w:t>
      </w:r>
      <w:r w:rsidR="000A15BF" w:rsidRPr="000C564A">
        <w:rPr>
          <w:rFonts w:cs="Arial"/>
          <w:lang w:val="es-CO"/>
        </w:rPr>
        <w:t xml:space="preserve"> la sociedad </w:t>
      </w:r>
      <w:r w:rsidR="00503E7F" w:rsidRPr="000C564A">
        <w:rPr>
          <w:rFonts w:cs="Arial"/>
          <w:lang w:val="es-CO"/>
        </w:rPr>
        <w:t xml:space="preserve">administradora </w:t>
      </w:r>
      <w:r w:rsidR="00282CFC" w:rsidRPr="000C564A">
        <w:rPr>
          <w:rFonts w:cs="Arial"/>
          <w:lang w:val="es-CO"/>
        </w:rPr>
        <w:t xml:space="preserve">opte por </w:t>
      </w:r>
      <w:r w:rsidR="00B94864" w:rsidRPr="000C564A">
        <w:rPr>
          <w:rFonts w:cs="Arial"/>
          <w:lang w:val="es-CO"/>
        </w:rPr>
        <w:t>utilizar un modelo de reglamento estandarizado</w:t>
      </w:r>
      <w:r w:rsidR="00D2351A" w:rsidRPr="000C564A">
        <w:rPr>
          <w:rFonts w:cs="Arial"/>
          <w:lang w:val="es-CO"/>
        </w:rPr>
        <w:t xml:space="preserve"> </w:t>
      </w:r>
      <w:r w:rsidR="007B69FF" w:rsidRPr="000C564A">
        <w:rPr>
          <w:rFonts w:cs="Arial"/>
          <w:lang w:val="es-CO"/>
        </w:rPr>
        <w:t>deberá solicitar la autorización mediante el tr</w:t>
      </w:r>
      <w:r w:rsidR="6D5912D5" w:rsidRPr="000C564A">
        <w:rPr>
          <w:rFonts w:cs="Arial"/>
          <w:lang w:val="es-CO"/>
        </w:rPr>
        <w:t>á</w:t>
      </w:r>
      <w:r w:rsidR="007B69FF" w:rsidRPr="000C564A">
        <w:rPr>
          <w:rFonts w:cs="Arial"/>
          <w:lang w:val="es-CO"/>
        </w:rPr>
        <w:t xml:space="preserve">mite </w:t>
      </w:r>
      <w:r w:rsidR="00A3285D" w:rsidRPr="000C564A">
        <w:rPr>
          <w:rFonts w:cs="Arial"/>
          <w:lang w:val="es-CO"/>
        </w:rPr>
        <w:t>abreviado</w:t>
      </w:r>
      <w:r w:rsidR="007B69FF" w:rsidRPr="000C564A">
        <w:rPr>
          <w:rFonts w:cs="Arial"/>
          <w:lang w:val="es-CO"/>
        </w:rPr>
        <w:t xml:space="preserve">. </w:t>
      </w:r>
    </w:p>
    <w:p w14:paraId="7F3CEA54" w14:textId="1622B2B0" w:rsidR="009375A6" w:rsidRDefault="009375A6" w:rsidP="00C10EFF">
      <w:pPr>
        <w:pBdr>
          <w:left w:val="single" w:sz="4" w:space="1" w:color="auto"/>
        </w:pBdr>
        <w:rPr>
          <w:lang w:val="es-CO" w:eastAsia="es-ES"/>
        </w:rPr>
      </w:pPr>
    </w:p>
    <w:p w14:paraId="7D0B8BAA" w14:textId="77777777" w:rsidR="00C10EFF" w:rsidRPr="005B0C6F" w:rsidRDefault="00C10EFF" w:rsidP="00C10EFF">
      <w:pPr>
        <w:pStyle w:val="Ttulo3"/>
        <w:pBdr>
          <w:left w:val="single" w:sz="4" w:space="1" w:color="auto"/>
        </w:pBdr>
      </w:pPr>
      <w:r>
        <w:t>Certificación expedida por el representante legal de la sociedad administradora en el que manifieste que el reglamento de funcionamiento presentado ante la SFC cumple con los requisitos de contenido mínimo establecidos en la regulación aplicable, en especial, el Libro 42 de la Parte 2 del Decreto y el subnumeral 5.2 del presente Capítulo.</w:t>
      </w:r>
    </w:p>
    <w:p w14:paraId="6800AD77" w14:textId="77777777" w:rsidR="00C10EFF" w:rsidRPr="00DF7495" w:rsidRDefault="00C10EFF" w:rsidP="00C10EFF">
      <w:pPr>
        <w:pBdr>
          <w:left w:val="single" w:sz="4" w:space="1" w:color="auto"/>
        </w:pBdr>
        <w:rPr>
          <w:lang w:val="es-CO" w:eastAsia="es-ES"/>
        </w:rPr>
      </w:pPr>
    </w:p>
    <w:p w14:paraId="0FA83D5A" w14:textId="7978F921" w:rsidR="00C973FE" w:rsidRDefault="00A61461" w:rsidP="00C10EFF">
      <w:pPr>
        <w:pStyle w:val="Ttulo3"/>
        <w:pBdr>
          <w:left w:val="single" w:sz="4" w:space="1" w:color="auto"/>
        </w:pBdr>
        <w:rPr>
          <w:rFonts w:cs="Arial"/>
          <w:szCs w:val="16"/>
          <w:lang w:val="es-CO"/>
        </w:rPr>
      </w:pPr>
      <w:r w:rsidRPr="00DF7495">
        <w:rPr>
          <w:lang w:val="es-CO"/>
        </w:rPr>
        <w:t>C</w:t>
      </w:r>
      <w:r w:rsidRPr="00DF7495">
        <w:rPr>
          <w:rFonts w:cs="Arial"/>
          <w:szCs w:val="16"/>
          <w:lang w:val="es-CO"/>
        </w:rPr>
        <w:t>opia del acta de junta directiva de la sociedad</w:t>
      </w:r>
      <w:r w:rsidR="00C973FE" w:rsidRPr="00DF7495">
        <w:rPr>
          <w:rFonts w:cs="Arial"/>
          <w:szCs w:val="16"/>
          <w:lang w:val="es-CO"/>
        </w:rPr>
        <w:t xml:space="preserve"> administradora</w:t>
      </w:r>
      <w:r w:rsidRPr="00DF7495">
        <w:rPr>
          <w:rFonts w:cs="Arial"/>
          <w:szCs w:val="16"/>
          <w:lang w:val="es-CO"/>
        </w:rPr>
        <w:t xml:space="preserve"> mediante la cual se aprobó el modelo de reglamento de funcionamiento.</w:t>
      </w:r>
    </w:p>
    <w:p w14:paraId="30FA6877" w14:textId="77777777" w:rsidR="00F056D0" w:rsidRPr="00F056D0" w:rsidRDefault="00F056D0" w:rsidP="00C10EFF">
      <w:pPr>
        <w:pBdr>
          <w:left w:val="single" w:sz="4" w:space="1" w:color="auto"/>
        </w:pBdr>
        <w:rPr>
          <w:lang w:val="es-CO" w:eastAsia="es-ES"/>
        </w:rPr>
      </w:pPr>
    </w:p>
    <w:p w14:paraId="78C2FC80" w14:textId="79C6F7AA" w:rsidR="00C973FE" w:rsidRDefault="00C973FE" w:rsidP="00C10EFF">
      <w:pPr>
        <w:pStyle w:val="Ttulo3"/>
        <w:pBdr>
          <w:left w:val="single" w:sz="4" w:space="1" w:color="auto"/>
        </w:pBdr>
        <w:rPr>
          <w:rFonts w:cs="Arial"/>
          <w:lang w:val="es-CO"/>
        </w:rPr>
      </w:pPr>
      <w:r w:rsidRPr="00DF7495">
        <w:rPr>
          <w:lang w:val="es-CO"/>
        </w:rPr>
        <w:t>Certificación</w:t>
      </w:r>
      <w:r w:rsidR="00A61461" w:rsidRPr="00DF7495">
        <w:rPr>
          <w:lang w:val="es-CO"/>
        </w:rPr>
        <w:t xml:space="preserve"> expedida por el representante legal de </w:t>
      </w:r>
      <w:r w:rsidR="00D73E46" w:rsidRPr="00DF7495">
        <w:rPr>
          <w:lang w:val="es-CO"/>
        </w:rPr>
        <w:t>la sociedad</w:t>
      </w:r>
      <w:r w:rsidR="00D73E46" w:rsidRPr="00DF7495">
        <w:rPr>
          <w:rFonts w:cs="Arial"/>
          <w:lang w:val="es-CO"/>
        </w:rPr>
        <w:t xml:space="preserve"> administradora</w:t>
      </w:r>
      <w:r w:rsidR="00A61461" w:rsidRPr="00DF7495">
        <w:rPr>
          <w:rFonts w:cs="Arial"/>
          <w:lang w:val="es-CO"/>
        </w:rPr>
        <w:t xml:space="preserve"> </w:t>
      </w:r>
      <w:r w:rsidR="009117C8" w:rsidRPr="00DF7495">
        <w:rPr>
          <w:rFonts w:cs="Arial"/>
          <w:lang w:val="es-CO"/>
        </w:rPr>
        <w:t xml:space="preserve">en el que </w:t>
      </w:r>
      <w:r w:rsidR="003A3332">
        <w:rPr>
          <w:rFonts w:cs="Arial"/>
          <w:lang w:val="es-CO"/>
        </w:rPr>
        <w:t>manifieste</w:t>
      </w:r>
      <w:r w:rsidR="009117C8" w:rsidRPr="00DF7495">
        <w:rPr>
          <w:rFonts w:cs="Arial"/>
          <w:lang w:val="es-CO"/>
        </w:rPr>
        <w:t xml:space="preserve"> </w:t>
      </w:r>
      <w:r w:rsidR="00A61461" w:rsidRPr="00DF7495">
        <w:rPr>
          <w:rFonts w:cs="Arial"/>
          <w:lang w:val="es-CO"/>
        </w:rPr>
        <w:t>que la sociedad</w:t>
      </w:r>
      <w:r w:rsidR="005B0C6F">
        <w:rPr>
          <w:rFonts w:cs="Arial"/>
          <w:lang w:val="es-CO"/>
        </w:rPr>
        <w:t xml:space="preserve"> administradora</w:t>
      </w:r>
      <w:r w:rsidR="00A61461" w:rsidRPr="00DF7495">
        <w:rPr>
          <w:rFonts w:cs="Arial"/>
          <w:lang w:val="es-CO"/>
        </w:rPr>
        <w:t xml:space="preserve"> cumple con los requisitos previstos en el </w:t>
      </w:r>
      <w:r w:rsidR="0EA0A7BC" w:rsidRPr="00DF7495">
        <w:rPr>
          <w:rFonts w:cs="Arial"/>
          <w:lang w:val="es-CO"/>
        </w:rPr>
        <w:t>artículo</w:t>
      </w:r>
      <w:r w:rsidR="00A61461" w:rsidRPr="00DF7495">
        <w:rPr>
          <w:rFonts w:cs="Arial"/>
          <w:lang w:val="es-CO"/>
        </w:rPr>
        <w:t xml:space="preserve"> 2.42.1.1.4 del Decreto 2555 de 2010 </w:t>
      </w:r>
      <w:r w:rsidRPr="00DF7495">
        <w:rPr>
          <w:rFonts w:cs="Arial"/>
          <w:lang w:val="es-CO"/>
        </w:rPr>
        <w:t xml:space="preserve">y en el numeral 2 del presente </w:t>
      </w:r>
      <w:r w:rsidR="44B44DDA" w:rsidRPr="00DF7495">
        <w:rPr>
          <w:rFonts w:cs="Arial"/>
          <w:lang w:val="es-CO"/>
        </w:rPr>
        <w:t>Cap</w:t>
      </w:r>
      <w:r w:rsidR="4770BD72" w:rsidRPr="00DF7495">
        <w:rPr>
          <w:rFonts w:cs="Arial"/>
          <w:lang w:val="es-CO"/>
        </w:rPr>
        <w:t>í</w:t>
      </w:r>
      <w:r w:rsidR="44B44DDA" w:rsidRPr="00DF7495">
        <w:rPr>
          <w:rFonts w:cs="Arial"/>
          <w:lang w:val="es-CO"/>
        </w:rPr>
        <w:t>tulo</w:t>
      </w:r>
      <w:r w:rsidRPr="00DF7495">
        <w:rPr>
          <w:rFonts w:cs="Arial"/>
          <w:lang w:val="es-CO"/>
        </w:rPr>
        <w:t>.</w:t>
      </w:r>
    </w:p>
    <w:p w14:paraId="5B164313" w14:textId="0D50A76E" w:rsidR="00B05941" w:rsidRPr="00DF7495" w:rsidRDefault="00B05941" w:rsidP="007C1418">
      <w:pPr>
        <w:pBdr>
          <w:left w:val="single" w:sz="4" w:space="1" w:color="auto"/>
        </w:pBdr>
        <w:rPr>
          <w:lang w:val="es-CO"/>
        </w:rPr>
      </w:pPr>
    </w:p>
    <w:p w14:paraId="29AC94DA" w14:textId="6E59B689" w:rsidR="00B05941" w:rsidRPr="00DF7495" w:rsidRDefault="00074EAB" w:rsidP="007C1418">
      <w:pPr>
        <w:pStyle w:val="Ttulo2"/>
        <w:pBdr>
          <w:left w:val="single" w:sz="4" w:space="1" w:color="auto"/>
        </w:pBdr>
        <w:rPr>
          <w:lang w:val="es-CO"/>
        </w:rPr>
      </w:pPr>
      <w:r w:rsidRPr="00DF7495">
        <w:rPr>
          <w:lang w:val="es-CO"/>
        </w:rPr>
        <w:t>M</w:t>
      </w:r>
      <w:r w:rsidR="00B05941" w:rsidRPr="00DF7495">
        <w:rPr>
          <w:lang w:val="es-CO"/>
        </w:rPr>
        <w:t>odificaci</w:t>
      </w:r>
      <w:r w:rsidR="00F60844" w:rsidRPr="00DF7495">
        <w:rPr>
          <w:lang w:val="es-CO"/>
        </w:rPr>
        <w:t>ones</w:t>
      </w:r>
      <w:r w:rsidR="00B05941" w:rsidRPr="00DF7495">
        <w:rPr>
          <w:lang w:val="es-CO"/>
        </w:rPr>
        <w:t xml:space="preserve"> al reglamento de funcionamiento del FVP en operación</w:t>
      </w:r>
    </w:p>
    <w:p w14:paraId="5CD73627" w14:textId="77777777" w:rsidR="00B05941" w:rsidRPr="00DF7495" w:rsidRDefault="00B05941" w:rsidP="007C1418">
      <w:pPr>
        <w:pStyle w:val="Ttulo4"/>
        <w:numPr>
          <w:ilvl w:val="0"/>
          <w:numId w:val="0"/>
        </w:numPr>
        <w:pBdr>
          <w:left w:val="single" w:sz="4" w:space="1" w:color="auto"/>
        </w:pBdr>
        <w:rPr>
          <w:lang w:val="es-CO"/>
        </w:rPr>
      </w:pPr>
    </w:p>
    <w:p w14:paraId="47455088" w14:textId="6D48DC32" w:rsidR="00B05941" w:rsidRPr="00DF7495" w:rsidRDefault="00B05941" w:rsidP="007C1418">
      <w:pPr>
        <w:pStyle w:val="Ttulo3"/>
        <w:pBdr>
          <w:left w:val="single" w:sz="4" w:space="1" w:color="auto"/>
        </w:pBdr>
        <w:rPr>
          <w:lang w:val="es-CO"/>
        </w:rPr>
      </w:pPr>
      <w:r w:rsidRPr="00DF7495">
        <w:rPr>
          <w:lang w:val="es-CO"/>
        </w:rPr>
        <w:t>Las reformas del reglamento que no impliquen modificaciones o afectación de los derechos económicos de los partícipes</w:t>
      </w:r>
      <w:r w:rsidR="005F187D" w:rsidRPr="00DF7495">
        <w:rPr>
          <w:lang w:val="es-CO"/>
        </w:rPr>
        <w:t>, incluyendo la incorporación de nuevos planes,</w:t>
      </w:r>
      <w:r w:rsidR="00091DFA" w:rsidRPr="00DF7495">
        <w:rPr>
          <w:lang w:val="es-CO"/>
        </w:rPr>
        <w:t xml:space="preserve"> </w:t>
      </w:r>
      <w:r w:rsidRPr="00DF7495">
        <w:rPr>
          <w:lang w:val="es-CO"/>
        </w:rPr>
        <w:t>deberán ser aprobadas previamente por la junta directiva de la sociedad administradora</w:t>
      </w:r>
      <w:r w:rsidR="002C0BDE" w:rsidRPr="00DF7495">
        <w:rPr>
          <w:lang w:val="es-CO"/>
        </w:rPr>
        <w:t>,</w:t>
      </w:r>
      <w:r w:rsidRPr="00DF7495">
        <w:rPr>
          <w:lang w:val="es-CO"/>
        </w:rPr>
        <w:t xml:space="preserve"> y no requerirán autorización previa por parte de la SFC, en virtud del parágrafo 1 del artículo 2.42.1.4.7 y el artículo 3.1.1.9.6 del Decreto 2555 de 2010.</w:t>
      </w:r>
    </w:p>
    <w:p w14:paraId="2D884839" w14:textId="77777777" w:rsidR="00B67824" w:rsidRPr="00DF7495" w:rsidRDefault="00B67824" w:rsidP="00642C13">
      <w:pPr>
        <w:pBdr>
          <w:left w:val="single" w:sz="4" w:space="1" w:color="auto"/>
        </w:pBdr>
        <w:rPr>
          <w:lang w:val="es-CO" w:eastAsia="es-ES"/>
        </w:rPr>
      </w:pPr>
    </w:p>
    <w:p w14:paraId="5215290E" w14:textId="103287D9" w:rsidR="004E5625" w:rsidRPr="00DF7495" w:rsidRDefault="004E5625" w:rsidP="00642C13">
      <w:pPr>
        <w:pStyle w:val="Ttulo3"/>
        <w:pBdr>
          <w:left w:val="single" w:sz="4" w:space="1" w:color="auto"/>
        </w:pBdr>
        <w:rPr>
          <w:lang w:val="es-CO"/>
        </w:rPr>
      </w:pPr>
      <w:r w:rsidRPr="00DF7495">
        <w:rPr>
          <w:lang w:val="es-CO"/>
        </w:rPr>
        <w:t>En todo caso, las sociedades administradoras deben surtir el trámite de autorización previa ante la SFC para las siguientes modificaciones al reglamento</w:t>
      </w:r>
      <w:r w:rsidR="00C940EA" w:rsidRPr="00DF7495">
        <w:rPr>
          <w:lang w:val="es-CO"/>
        </w:rPr>
        <w:t>:</w:t>
      </w:r>
      <w:r w:rsidR="00987592" w:rsidRPr="00DF7495">
        <w:rPr>
          <w:lang w:val="es-CO"/>
        </w:rPr>
        <w:t xml:space="preserve"> </w:t>
      </w:r>
    </w:p>
    <w:p w14:paraId="10D4DB26" w14:textId="77777777" w:rsidR="004E5625" w:rsidRPr="00DF7495" w:rsidRDefault="004E5625" w:rsidP="00642C13">
      <w:pPr>
        <w:pStyle w:val="Ttulo3"/>
        <w:numPr>
          <w:ilvl w:val="0"/>
          <w:numId w:val="0"/>
        </w:numPr>
        <w:pBdr>
          <w:left w:val="single" w:sz="4" w:space="1" w:color="auto"/>
        </w:pBdr>
        <w:rPr>
          <w:lang w:val="es-CO"/>
        </w:rPr>
      </w:pPr>
    </w:p>
    <w:p w14:paraId="50E80B35" w14:textId="323AFFE2" w:rsidR="004E5625" w:rsidRPr="00DF7495" w:rsidRDefault="00360150" w:rsidP="00642C13">
      <w:pPr>
        <w:pStyle w:val="Ttulo4"/>
        <w:pBdr>
          <w:left w:val="single" w:sz="4" w:space="1" w:color="auto"/>
        </w:pBdr>
        <w:ind w:left="0"/>
        <w:rPr>
          <w:lang w:val="es-CO"/>
        </w:rPr>
      </w:pPr>
      <w:r w:rsidRPr="00DF7495">
        <w:rPr>
          <w:lang w:val="es-CO"/>
        </w:rPr>
        <w:t>L</w:t>
      </w:r>
      <w:r w:rsidR="004E5625" w:rsidRPr="00DF7495">
        <w:rPr>
          <w:lang w:val="es-CO"/>
        </w:rPr>
        <w:t>as modificaciones a la política de inversión del fondo y a la valoración de los activos del fondo.</w:t>
      </w:r>
    </w:p>
    <w:p w14:paraId="7102D840" w14:textId="6B18E422" w:rsidR="004E5625" w:rsidRPr="00DF7495" w:rsidRDefault="00360150" w:rsidP="00642C13">
      <w:pPr>
        <w:pStyle w:val="Ttulo4"/>
        <w:pBdr>
          <w:left w:val="single" w:sz="4" w:space="1" w:color="auto"/>
        </w:pBdr>
        <w:ind w:left="0"/>
        <w:rPr>
          <w:lang w:val="es-CO"/>
        </w:rPr>
      </w:pPr>
      <w:r w:rsidRPr="00DF7495">
        <w:rPr>
          <w:lang w:val="es-CO"/>
        </w:rPr>
        <w:t>L</w:t>
      </w:r>
      <w:r w:rsidR="004E5625" w:rsidRPr="00DF7495">
        <w:rPr>
          <w:lang w:val="es-CO"/>
        </w:rPr>
        <w:t>as modificaciones en las características de los planes de pensión.</w:t>
      </w:r>
    </w:p>
    <w:p w14:paraId="4A1D1F21" w14:textId="1F0E83AA" w:rsidR="004E5625" w:rsidRPr="00DF7495" w:rsidRDefault="00360150" w:rsidP="00642C13">
      <w:pPr>
        <w:pStyle w:val="Ttulo4"/>
        <w:pBdr>
          <w:left w:val="single" w:sz="4" w:space="1" w:color="auto"/>
        </w:pBdr>
        <w:ind w:left="0"/>
        <w:rPr>
          <w:lang w:val="es-CO"/>
        </w:rPr>
      </w:pPr>
      <w:r w:rsidRPr="00DF7495">
        <w:rPr>
          <w:lang w:val="es-CO"/>
        </w:rPr>
        <w:t>L</w:t>
      </w:r>
      <w:r w:rsidR="004E5625" w:rsidRPr="00DF7495">
        <w:rPr>
          <w:lang w:val="es-CO"/>
        </w:rPr>
        <w:t>as modificaciones a los gastos del FVP o a la remuneración de la sociedad administradora.</w:t>
      </w:r>
    </w:p>
    <w:p w14:paraId="33C4B3C0" w14:textId="3A946469" w:rsidR="00987592" w:rsidRPr="00DF7495" w:rsidRDefault="004E5625" w:rsidP="00642C13">
      <w:pPr>
        <w:pStyle w:val="Ttulo4"/>
        <w:pBdr>
          <w:left w:val="single" w:sz="4" w:space="1" w:color="auto"/>
        </w:pBdr>
        <w:ind w:left="0"/>
        <w:rPr>
          <w:lang w:val="es-CO"/>
        </w:rPr>
      </w:pPr>
      <w:r w:rsidRPr="00DF7495">
        <w:rPr>
          <w:lang w:val="es-CO"/>
        </w:rPr>
        <w:t>Cualquier otra modificación de las condiciones previamente aceptadas por los partícipes en el reglamento que afecten de manera directa su derecho de percibir los resultados económicos colectivos que resulten de la gestión de los recursos entregados al FVP.</w:t>
      </w:r>
    </w:p>
    <w:p w14:paraId="2AAF4814" w14:textId="77777777" w:rsidR="009922CC" w:rsidRPr="00DF7495" w:rsidRDefault="009922CC" w:rsidP="00642C13">
      <w:pPr>
        <w:pBdr>
          <w:left w:val="single" w:sz="4" w:space="1" w:color="auto"/>
        </w:pBdr>
        <w:rPr>
          <w:lang w:val="es-CO" w:eastAsia="es-ES"/>
        </w:rPr>
      </w:pPr>
    </w:p>
    <w:p w14:paraId="6BB6B2A9" w14:textId="1F39A7C5" w:rsidR="009922CC" w:rsidRDefault="00076804" w:rsidP="00344C9A">
      <w:pPr>
        <w:pStyle w:val="Ttulo3"/>
        <w:pBdr>
          <w:left w:val="single" w:sz="4" w:space="1" w:color="auto"/>
        </w:pBdr>
        <w:rPr>
          <w:lang w:val="es-CO"/>
        </w:rPr>
      </w:pPr>
      <w:r w:rsidRPr="00DF7495">
        <w:rPr>
          <w:lang w:val="es-CO"/>
        </w:rPr>
        <w:t>Para cumplir con el trámite de autorización previa ante la SFC, la sociedad administradora debe remitir los</w:t>
      </w:r>
      <w:r w:rsidR="00781D13">
        <w:rPr>
          <w:lang w:val="es-CO"/>
        </w:rPr>
        <w:t xml:space="preserve"> </w:t>
      </w:r>
      <w:r w:rsidR="00605BF4">
        <w:rPr>
          <w:lang w:val="es-CO"/>
        </w:rPr>
        <w:t>siguientes documentos</w:t>
      </w:r>
      <w:r w:rsidRPr="00DF7495">
        <w:rPr>
          <w:lang w:val="es-CO"/>
        </w:rPr>
        <w:t>:</w:t>
      </w:r>
    </w:p>
    <w:p w14:paraId="534913D4" w14:textId="358A81CF" w:rsidR="0037388B" w:rsidRDefault="0037388B" w:rsidP="00344C9A">
      <w:pPr>
        <w:pBdr>
          <w:left w:val="single" w:sz="4" w:space="1" w:color="auto"/>
        </w:pBdr>
        <w:rPr>
          <w:lang w:val="es-CO" w:eastAsia="es-ES"/>
        </w:rPr>
      </w:pPr>
    </w:p>
    <w:p w14:paraId="4A8274BD" w14:textId="53EA9B55" w:rsidR="001E209C" w:rsidRPr="00403546" w:rsidRDefault="0037388B" w:rsidP="00344C9A">
      <w:pPr>
        <w:pStyle w:val="Ttulo5"/>
        <w:pBdr>
          <w:left w:val="single" w:sz="4" w:space="1" w:color="auto"/>
        </w:pBdr>
        <w:rPr>
          <w:lang w:val="es-CO"/>
        </w:rPr>
      </w:pPr>
      <w:r w:rsidRPr="0037388B">
        <w:rPr>
          <w:lang w:val="es-CO"/>
        </w:rPr>
        <w:t>Certificación expedida por el representante legal donde manifieste que el reglamento modificado cumple con los requisitos de contenido mínimo establecidos en la regulación aplicable</w:t>
      </w:r>
      <w:r w:rsidR="00616802">
        <w:rPr>
          <w:lang w:val="es-CO"/>
        </w:rPr>
        <w:t xml:space="preserve">, </w:t>
      </w:r>
      <w:r w:rsidR="00616802">
        <w:t xml:space="preserve">en especial, el Libro 42 de la Parte 2 del Decreto </w:t>
      </w:r>
      <w:r w:rsidR="00605BF4">
        <w:t xml:space="preserve">2555 de 2010 </w:t>
      </w:r>
      <w:r w:rsidR="00616802">
        <w:t>y el subnumeral 5.2 del presente Capítulo</w:t>
      </w:r>
      <w:r w:rsidR="006073F3">
        <w:rPr>
          <w:lang w:val="es-CO"/>
        </w:rPr>
        <w:t>.</w:t>
      </w:r>
    </w:p>
    <w:p w14:paraId="72BF23E2" w14:textId="6FF4360E" w:rsidR="001E209C" w:rsidRPr="00DF7495" w:rsidRDefault="00D97B3B" w:rsidP="00344C9A">
      <w:pPr>
        <w:pStyle w:val="Ttulo4"/>
        <w:pBdr>
          <w:left w:val="single" w:sz="4" w:space="1" w:color="auto"/>
        </w:pBdr>
        <w:ind w:left="0"/>
        <w:rPr>
          <w:lang w:val="es-CO"/>
        </w:rPr>
      </w:pPr>
      <w:r>
        <w:rPr>
          <w:lang w:val="es-CO"/>
        </w:rPr>
        <w:t>El n</w:t>
      </w:r>
      <w:r w:rsidR="004A031B" w:rsidRPr="00DF7495">
        <w:rPr>
          <w:lang w:val="es-CO"/>
        </w:rPr>
        <w:t>uevo reglamento que incluya la identificación clara de los cambios introducidos frente al reglamento sujeto de modificación.</w:t>
      </w:r>
      <w:r w:rsidR="008C0A35">
        <w:rPr>
          <w:lang w:val="es-CO"/>
        </w:rPr>
        <w:t xml:space="preserve"> </w:t>
      </w:r>
    </w:p>
    <w:p w14:paraId="561B1226" w14:textId="362E8379" w:rsidR="004A031B" w:rsidRPr="00DF7495" w:rsidRDefault="004A031B" w:rsidP="00344C9A">
      <w:pPr>
        <w:pStyle w:val="Ttulo4"/>
        <w:pBdr>
          <w:left w:val="single" w:sz="4" w:space="1" w:color="auto"/>
        </w:pBdr>
        <w:ind w:left="0"/>
        <w:rPr>
          <w:lang w:val="es-CO"/>
        </w:rPr>
      </w:pPr>
      <w:r w:rsidRPr="00DF7495">
        <w:rPr>
          <w:lang w:val="es-CO"/>
        </w:rPr>
        <w:t>Copia del acta de la junta directiva de la sociedad administradora mediante la cual se aprueba la modificación al reglament</w:t>
      </w:r>
      <w:r w:rsidR="00A74FF7" w:rsidRPr="00DF7495">
        <w:rPr>
          <w:lang w:val="es-CO"/>
        </w:rPr>
        <w:t>o</w:t>
      </w:r>
      <w:r w:rsidRPr="00DF7495">
        <w:rPr>
          <w:lang w:val="es-CO"/>
        </w:rPr>
        <w:t xml:space="preserve">. </w:t>
      </w:r>
    </w:p>
    <w:p w14:paraId="3809415D" w14:textId="6BA44CF4" w:rsidR="004A031B" w:rsidRDefault="004A031B" w:rsidP="00344C9A">
      <w:pPr>
        <w:pStyle w:val="Ttulo4"/>
        <w:pBdr>
          <w:left w:val="single" w:sz="4" w:space="1" w:color="auto"/>
        </w:pBdr>
        <w:ind w:left="0"/>
        <w:rPr>
          <w:lang w:val="es-CO"/>
        </w:rPr>
      </w:pPr>
      <w:r w:rsidRPr="00DF7495">
        <w:rPr>
          <w:lang w:val="es-CO"/>
        </w:rPr>
        <w:t xml:space="preserve">Proyecto del aviso de publicación en un diario de amplia circulación nacional y de la comunicación dirigida a los </w:t>
      </w:r>
      <w:r w:rsidR="00D90767" w:rsidRPr="00DF7495">
        <w:rPr>
          <w:lang w:val="es-CO"/>
        </w:rPr>
        <w:t>partícipes</w:t>
      </w:r>
      <w:r w:rsidRPr="00DF7495">
        <w:rPr>
          <w:lang w:val="es-CO"/>
        </w:rPr>
        <w:t xml:space="preserve"> en la forma prevista por el artículo 3.1.1.9.6 del Decreto 2555 de 2010. </w:t>
      </w:r>
    </w:p>
    <w:p w14:paraId="1929140B" w14:textId="57F2B6F2" w:rsidR="004E3ACD" w:rsidRDefault="004E3ACD" w:rsidP="00344C9A">
      <w:pPr>
        <w:pBdr>
          <w:left w:val="single" w:sz="4" w:space="1" w:color="auto"/>
        </w:pBdr>
        <w:rPr>
          <w:lang w:val="es-CO" w:eastAsia="es-ES"/>
        </w:rPr>
      </w:pPr>
    </w:p>
    <w:p w14:paraId="156150A9" w14:textId="5DAB764A" w:rsidR="004E3ACD" w:rsidRPr="004E3ACD" w:rsidRDefault="004E3ACD" w:rsidP="00344C9A">
      <w:pPr>
        <w:pStyle w:val="Ttulo4"/>
        <w:numPr>
          <w:ilvl w:val="0"/>
          <w:numId w:val="0"/>
        </w:numPr>
        <w:pBdr>
          <w:left w:val="single" w:sz="4" w:space="1" w:color="auto"/>
        </w:pBdr>
        <w:rPr>
          <w:lang w:val="es-CO"/>
        </w:rPr>
      </w:pPr>
      <w:r w:rsidRPr="000C564A">
        <w:rPr>
          <w:lang w:val="es-CO"/>
        </w:rPr>
        <w:t xml:space="preserve">En caso de que la sociedad administradora opte por utilizar un modelo de reglamento estandarizado deberá solicitar la autorización mediante el trámite abreviado. </w:t>
      </w:r>
    </w:p>
    <w:p w14:paraId="71482AD1" w14:textId="18B84019" w:rsidR="00232CB7" w:rsidRPr="00DF7495" w:rsidRDefault="00232CB7" w:rsidP="007C1418">
      <w:pPr>
        <w:pBdr>
          <w:left w:val="single" w:sz="4" w:space="1" w:color="auto"/>
        </w:pBdr>
        <w:rPr>
          <w:lang w:val="es-CO"/>
        </w:rPr>
      </w:pPr>
    </w:p>
    <w:p w14:paraId="1CCBEA1F" w14:textId="5308D0F0" w:rsidR="00232CB7" w:rsidRPr="00DF7495" w:rsidRDefault="00232CB7" w:rsidP="007C1418">
      <w:pPr>
        <w:pStyle w:val="Ttulo1"/>
        <w:pBdr>
          <w:left w:val="single" w:sz="4" w:space="1" w:color="auto"/>
        </w:pBdr>
        <w:rPr>
          <w:lang w:val="es-CO"/>
        </w:rPr>
      </w:pPr>
      <w:r w:rsidRPr="00DF7495">
        <w:rPr>
          <w:lang w:val="es-CO"/>
        </w:rPr>
        <w:t xml:space="preserve">ALTERNATIVAS DE INVERSIÓN </w:t>
      </w:r>
    </w:p>
    <w:p w14:paraId="03F55B65" w14:textId="77777777" w:rsidR="00232CB7" w:rsidRPr="00DF7495" w:rsidRDefault="00232CB7" w:rsidP="007C1418">
      <w:pPr>
        <w:pBdr>
          <w:left w:val="single" w:sz="4" w:space="1" w:color="auto"/>
        </w:pBdr>
        <w:rPr>
          <w:lang w:val="es-CO"/>
        </w:rPr>
      </w:pPr>
    </w:p>
    <w:p w14:paraId="0EB62EF6" w14:textId="77777777" w:rsidR="00894DA6" w:rsidRPr="00DF7495" w:rsidRDefault="00232CB7" w:rsidP="007C1418">
      <w:pPr>
        <w:pBdr>
          <w:left w:val="single" w:sz="4" w:space="1" w:color="auto"/>
        </w:pBdr>
        <w:rPr>
          <w:lang w:val="es-CO"/>
        </w:rPr>
      </w:pPr>
      <w:r w:rsidRPr="00DF7495">
        <w:rPr>
          <w:lang w:val="es-CO"/>
        </w:rPr>
        <w:t>Las alternativas de inversión corresponden a estrategias de distribución que agregan portafolios de acuerdo con los objetivos de inversión o perfil de riesgo de los partícipes</w:t>
      </w:r>
      <w:r w:rsidR="00894DA6" w:rsidRPr="00DF7495">
        <w:rPr>
          <w:lang w:val="es-CO"/>
        </w:rPr>
        <w:t xml:space="preserve">, de tal forma que estos puedan acceder a los portafolios ofrecidos por la sociedad administradora. </w:t>
      </w:r>
    </w:p>
    <w:p w14:paraId="6CD1FAF5" w14:textId="77777777" w:rsidR="00894DA6" w:rsidRPr="00DF7495" w:rsidRDefault="00894DA6" w:rsidP="007C1418">
      <w:pPr>
        <w:pBdr>
          <w:left w:val="single" w:sz="4" w:space="1" w:color="auto"/>
        </w:pBdr>
        <w:rPr>
          <w:lang w:val="es-CO"/>
        </w:rPr>
      </w:pPr>
    </w:p>
    <w:p w14:paraId="76BFD1AF" w14:textId="6A189818" w:rsidR="00232CB7" w:rsidRPr="00DF7495" w:rsidRDefault="00232CB7" w:rsidP="007C1418">
      <w:pPr>
        <w:pBdr>
          <w:left w:val="single" w:sz="4" w:space="1" w:color="auto"/>
        </w:pBdr>
        <w:rPr>
          <w:lang w:val="es-CO"/>
        </w:rPr>
      </w:pPr>
      <w:r w:rsidRPr="00DF7495">
        <w:rPr>
          <w:lang w:val="es-CO"/>
        </w:rPr>
        <w:t>Las sociedades administradoras pueden ofrecer los siguientes tipos de alternativas en desarrollo de la actividad de administración de FVP: (i) alternativas estandarizadas, (ii)</w:t>
      </w:r>
      <w:r w:rsidR="003D0079">
        <w:rPr>
          <w:lang w:val="es-CO"/>
        </w:rPr>
        <w:t> </w:t>
      </w:r>
      <w:r w:rsidRPr="00DF7495">
        <w:rPr>
          <w:lang w:val="es-CO"/>
        </w:rPr>
        <w:t xml:space="preserve">alternativas </w:t>
      </w:r>
      <w:r w:rsidR="00FF5751" w:rsidRPr="00DF7495">
        <w:rPr>
          <w:lang w:val="es-CO"/>
        </w:rPr>
        <w:t>flexibles</w:t>
      </w:r>
      <w:r w:rsidRPr="00DF7495">
        <w:rPr>
          <w:lang w:val="es-CO"/>
        </w:rPr>
        <w:t>, y (iii)</w:t>
      </w:r>
      <w:r w:rsidR="003D0079">
        <w:rPr>
          <w:lang w:val="es-CO"/>
        </w:rPr>
        <w:t> </w:t>
      </w:r>
      <w:r w:rsidRPr="00DF7495">
        <w:rPr>
          <w:lang w:val="es-CO"/>
        </w:rPr>
        <w:t xml:space="preserve">alternativas </w:t>
      </w:r>
      <w:r w:rsidR="00CE33C5" w:rsidRPr="00DF7495">
        <w:rPr>
          <w:lang w:val="es-CO"/>
        </w:rPr>
        <w:t>autogestionadas</w:t>
      </w:r>
      <w:r w:rsidR="00AF19E4" w:rsidRPr="00DF7495">
        <w:rPr>
          <w:lang w:val="es-CO"/>
        </w:rPr>
        <w:t xml:space="preserve">. </w:t>
      </w:r>
    </w:p>
    <w:p w14:paraId="37DC15EB" w14:textId="01DFCCC5" w:rsidR="00232CB7" w:rsidRPr="00DF7495" w:rsidRDefault="00232CB7" w:rsidP="007C1418">
      <w:pPr>
        <w:pBdr>
          <w:left w:val="single" w:sz="4" w:space="1" w:color="auto"/>
        </w:pBdr>
        <w:rPr>
          <w:lang w:val="es-CO"/>
        </w:rPr>
      </w:pPr>
    </w:p>
    <w:p w14:paraId="01BF562C" w14:textId="4F946F6C" w:rsidR="00446CA9" w:rsidRPr="00DF7495" w:rsidRDefault="00446CA9" w:rsidP="007C1418">
      <w:pPr>
        <w:pStyle w:val="Ttulo2"/>
        <w:pBdr>
          <w:left w:val="single" w:sz="4" w:space="1" w:color="auto"/>
        </w:pBdr>
        <w:rPr>
          <w:lang w:val="es-CO"/>
        </w:rPr>
      </w:pPr>
      <w:r w:rsidRPr="00DF7495">
        <w:rPr>
          <w:lang w:val="es-CO"/>
        </w:rPr>
        <w:lastRenderedPageBreak/>
        <w:t xml:space="preserve">Alternativas estandarizadas </w:t>
      </w:r>
    </w:p>
    <w:p w14:paraId="0C836A9D" w14:textId="77777777" w:rsidR="00446CA9" w:rsidRPr="00DF7495" w:rsidRDefault="00446CA9" w:rsidP="007C1418">
      <w:pPr>
        <w:pBdr>
          <w:left w:val="single" w:sz="4" w:space="1" w:color="auto"/>
        </w:pBdr>
        <w:rPr>
          <w:lang w:val="es-CO" w:eastAsia="es-ES"/>
        </w:rPr>
      </w:pPr>
    </w:p>
    <w:p w14:paraId="0F086195" w14:textId="530FBF4A" w:rsidR="00086476" w:rsidRPr="00DF7495" w:rsidRDefault="00232CB7" w:rsidP="007C1418">
      <w:pPr>
        <w:pBdr>
          <w:left w:val="single" w:sz="4" w:space="1" w:color="auto"/>
        </w:pBdr>
        <w:rPr>
          <w:lang w:val="es-CO"/>
        </w:rPr>
      </w:pPr>
      <w:r w:rsidRPr="00DF7495">
        <w:rPr>
          <w:lang w:val="es-CO"/>
        </w:rPr>
        <w:t xml:space="preserve">Las alternativas estandarizadas corresponden </w:t>
      </w:r>
      <w:r w:rsidR="00BC6E34" w:rsidRPr="00DF7495">
        <w:rPr>
          <w:lang w:val="es-CO"/>
        </w:rPr>
        <w:t xml:space="preserve">a </w:t>
      </w:r>
      <w:r w:rsidR="003A7A9C" w:rsidRPr="00DF7495">
        <w:rPr>
          <w:lang w:val="es-CO"/>
        </w:rPr>
        <w:t xml:space="preserve">estrategias </w:t>
      </w:r>
      <w:r w:rsidR="00BC6E34" w:rsidRPr="00DF7495">
        <w:rPr>
          <w:lang w:val="es-CO"/>
        </w:rPr>
        <w:t>de distribución que agregan portafolios</w:t>
      </w:r>
      <w:r w:rsidR="008A2E47" w:rsidRPr="00DF7495">
        <w:rPr>
          <w:lang w:val="es-CO"/>
        </w:rPr>
        <w:t xml:space="preserve"> </w:t>
      </w:r>
      <w:r w:rsidR="002C3627" w:rsidRPr="00DF7495">
        <w:rPr>
          <w:lang w:val="es-CO"/>
        </w:rPr>
        <w:t>seleccionados</w:t>
      </w:r>
      <w:r w:rsidR="008A2E47" w:rsidRPr="00DF7495">
        <w:rPr>
          <w:lang w:val="es-CO"/>
        </w:rPr>
        <w:t xml:space="preserve"> por la sociedad administradora</w:t>
      </w:r>
      <w:r w:rsidR="00925BA0" w:rsidRPr="00DF7495">
        <w:rPr>
          <w:lang w:val="es-CO"/>
        </w:rPr>
        <w:t>, y en l</w:t>
      </w:r>
      <w:r w:rsidR="002E7C8C" w:rsidRPr="00DF7495">
        <w:rPr>
          <w:lang w:val="es-CO"/>
        </w:rPr>
        <w:t>a</w:t>
      </w:r>
      <w:r w:rsidR="00925BA0" w:rsidRPr="00DF7495">
        <w:rPr>
          <w:lang w:val="es-CO"/>
        </w:rPr>
        <w:t xml:space="preserve">s cuales se delega en </w:t>
      </w:r>
      <w:r w:rsidR="00C25101" w:rsidRPr="00DF7495">
        <w:rPr>
          <w:lang w:val="es-CO"/>
        </w:rPr>
        <w:t>aquella</w:t>
      </w:r>
      <w:r w:rsidR="0014652D" w:rsidRPr="00DF7495">
        <w:rPr>
          <w:lang w:val="es-CO"/>
        </w:rPr>
        <w:t xml:space="preserve"> las decisiones respecto de la composición </w:t>
      </w:r>
      <w:r w:rsidR="00086476" w:rsidRPr="00DF7495">
        <w:rPr>
          <w:lang w:val="es-CO"/>
        </w:rPr>
        <w:t xml:space="preserve">de la alternativa, tales como, la inclusión o exclusión de portafolios y el rebalanceo de la participación de la alternativa en los mismos.  </w:t>
      </w:r>
    </w:p>
    <w:p w14:paraId="11FB3FCA" w14:textId="289DBD7D" w:rsidR="00D145DD" w:rsidRPr="00DF7495" w:rsidRDefault="00D145DD" w:rsidP="007C1418">
      <w:pPr>
        <w:pBdr>
          <w:left w:val="single" w:sz="4" w:space="1" w:color="auto"/>
        </w:pBdr>
        <w:rPr>
          <w:lang w:val="es-CO"/>
        </w:rPr>
      </w:pPr>
    </w:p>
    <w:p w14:paraId="467B1D95" w14:textId="342B4168" w:rsidR="00446CA9" w:rsidRPr="00DF7495" w:rsidRDefault="00446CA9" w:rsidP="007C1418">
      <w:pPr>
        <w:pStyle w:val="Ttulo2"/>
        <w:pBdr>
          <w:left w:val="single" w:sz="4" w:space="1" w:color="auto"/>
        </w:pBdr>
        <w:rPr>
          <w:lang w:val="es-CO"/>
        </w:rPr>
      </w:pPr>
      <w:r w:rsidRPr="00DF7495">
        <w:rPr>
          <w:lang w:val="es-CO"/>
        </w:rPr>
        <w:t xml:space="preserve">Alternativas flexibles </w:t>
      </w:r>
    </w:p>
    <w:p w14:paraId="0B6154CC" w14:textId="77777777" w:rsidR="00446CA9" w:rsidRPr="00DF7495" w:rsidRDefault="00446CA9" w:rsidP="007C1418">
      <w:pPr>
        <w:pBdr>
          <w:left w:val="single" w:sz="4" w:space="1" w:color="auto"/>
        </w:pBdr>
        <w:rPr>
          <w:lang w:val="es-CO"/>
        </w:rPr>
      </w:pPr>
    </w:p>
    <w:p w14:paraId="00BA5308" w14:textId="706E0DA8" w:rsidR="005061DE" w:rsidRPr="00DF7495" w:rsidRDefault="00C50D97" w:rsidP="007C1418">
      <w:pPr>
        <w:pBdr>
          <w:left w:val="single" w:sz="4" w:space="1" w:color="auto"/>
        </w:pBdr>
        <w:rPr>
          <w:lang w:val="es-CO"/>
        </w:rPr>
      </w:pPr>
      <w:r w:rsidRPr="00DF7495">
        <w:rPr>
          <w:lang w:val="es-CO"/>
        </w:rPr>
        <w:t xml:space="preserve">Las </w:t>
      </w:r>
      <w:r w:rsidR="00092011" w:rsidRPr="00DF7495">
        <w:rPr>
          <w:lang w:val="es-CO"/>
        </w:rPr>
        <w:t xml:space="preserve">alternativas </w:t>
      </w:r>
      <w:r w:rsidR="00FF5751" w:rsidRPr="00DF7495">
        <w:rPr>
          <w:lang w:val="es-CO"/>
        </w:rPr>
        <w:t>flexibles</w:t>
      </w:r>
      <w:r w:rsidR="00092011" w:rsidRPr="00DF7495">
        <w:rPr>
          <w:lang w:val="es-CO"/>
        </w:rPr>
        <w:t xml:space="preserve"> corresponden a estrategias de distribución de portafolios </w:t>
      </w:r>
      <w:r w:rsidR="0007509A" w:rsidRPr="00DF7495">
        <w:rPr>
          <w:lang w:val="es-CO"/>
        </w:rPr>
        <w:t xml:space="preserve">previamente </w:t>
      </w:r>
      <w:r w:rsidR="001D665E" w:rsidRPr="00DF7495">
        <w:rPr>
          <w:lang w:val="es-CO"/>
        </w:rPr>
        <w:t xml:space="preserve">seleccionados por </w:t>
      </w:r>
      <w:r w:rsidR="0007509A" w:rsidRPr="00DF7495">
        <w:rPr>
          <w:lang w:val="es-CO"/>
        </w:rPr>
        <w:t>la sociedad administradora</w:t>
      </w:r>
      <w:r w:rsidR="00573A6B" w:rsidRPr="00DF7495">
        <w:rPr>
          <w:lang w:val="es-CO"/>
        </w:rPr>
        <w:t xml:space="preserve"> según perfiles de riesgo y/</w:t>
      </w:r>
      <w:r w:rsidR="00360547">
        <w:rPr>
          <w:lang w:val="es-CO"/>
        </w:rPr>
        <w:t>u</w:t>
      </w:r>
      <w:r w:rsidR="00573A6B" w:rsidRPr="00DF7495">
        <w:rPr>
          <w:lang w:val="es-CO"/>
        </w:rPr>
        <w:t xml:space="preserve"> objetivos de inversión</w:t>
      </w:r>
      <w:r w:rsidR="00803729" w:rsidRPr="00DF7495">
        <w:rPr>
          <w:lang w:val="es-CO"/>
        </w:rPr>
        <w:t>, en l</w:t>
      </w:r>
      <w:r w:rsidR="002E7C8C" w:rsidRPr="00DF7495">
        <w:rPr>
          <w:lang w:val="es-CO"/>
        </w:rPr>
        <w:t>a</w:t>
      </w:r>
      <w:r w:rsidR="00803729" w:rsidRPr="00DF7495">
        <w:rPr>
          <w:lang w:val="es-CO"/>
        </w:rPr>
        <w:t>s cuales los partícipes</w:t>
      </w:r>
      <w:r w:rsidR="002E7C8C" w:rsidRPr="00DF7495">
        <w:rPr>
          <w:lang w:val="es-CO"/>
        </w:rPr>
        <w:t xml:space="preserve"> </w:t>
      </w:r>
      <w:r w:rsidR="005061DE" w:rsidRPr="00DF7495">
        <w:rPr>
          <w:lang w:val="es-CO"/>
        </w:rPr>
        <w:t xml:space="preserve">toman las decisiones respecto </w:t>
      </w:r>
      <w:r w:rsidR="002031A7" w:rsidRPr="00DF7495">
        <w:rPr>
          <w:lang w:val="es-CO"/>
        </w:rPr>
        <w:t>de su inversión individual en cada uno de los portafolios que componen</w:t>
      </w:r>
      <w:r w:rsidR="005061DE" w:rsidRPr="00DF7495">
        <w:rPr>
          <w:lang w:val="es-CO"/>
        </w:rPr>
        <w:t xml:space="preserve"> la alternativa. </w:t>
      </w:r>
    </w:p>
    <w:p w14:paraId="0E2E60BC" w14:textId="2441BF2D" w:rsidR="00446CA9" w:rsidRPr="00DF7495" w:rsidRDefault="00446CA9" w:rsidP="007C1418">
      <w:pPr>
        <w:pBdr>
          <w:left w:val="single" w:sz="4" w:space="1" w:color="auto"/>
        </w:pBdr>
        <w:rPr>
          <w:lang w:val="es-CO"/>
        </w:rPr>
      </w:pPr>
    </w:p>
    <w:p w14:paraId="094FE1A4" w14:textId="7F376CC4" w:rsidR="00446CA9" w:rsidRPr="00DF7495" w:rsidRDefault="00446CA9" w:rsidP="007C1418">
      <w:pPr>
        <w:pStyle w:val="Ttulo2"/>
        <w:pBdr>
          <w:left w:val="single" w:sz="4" w:space="1" w:color="auto"/>
        </w:pBdr>
        <w:rPr>
          <w:lang w:val="es-CO"/>
        </w:rPr>
      </w:pPr>
      <w:r w:rsidRPr="00DF7495">
        <w:rPr>
          <w:lang w:val="es-CO"/>
        </w:rPr>
        <w:t xml:space="preserve">Alternativas </w:t>
      </w:r>
      <w:r w:rsidR="000513E1" w:rsidRPr="00DF7495">
        <w:rPr>
          <w:lang w:val="es-CO"/>
        </w:rPr>
        <w:t>autogestionadas</w:t>
      </w:r>
    </w:p>
    <w:p w14:paraId="0F510998" w14:textId="77777777" w:rsidR="005061DE" w:rsidRPr="00DF7495" w:rsidRDefault="005061DE" w:rsidP="007C1418">
      <w:pPr>
        <w:pBdr>
          <w:left w:val="single" w:sz="4" w:space="1" w:color="auto"/>
        </w:pBdr>
        <w:ind w:left="708" w:hanging="708"/>
        <w:rPr>
          <w:lang w:val="es-CO"/>
        </w:rPr>
      </w:pPr>
    </w:p>
    <w:p w14:paraId="51C24F34" w14:textId="1A196977" w:rsidR="00DD2665" w:rsidRPr="00DF7495" w:rsidRDefault="00675F25" w:rsidP="007C1418">
      <w:pPr>
        <w:pBdr>
          <w:left w:val="single" w:sz="4" w:space="1" w:color="auto"/>
        </w:pBdr>
        <w:rPr>
          <w:lang w:val="es-CO"/>
        </w:rPr>
      </w:pPr>
      <w:r w:rsidRPr="00DF7495">
        <w:rPr>
          <w:lang w:val="es-CO"/>
        </w:rPr>
        <w:t xml:space="preserve">Las alternativas </w:t>
      </w:r>
      <w:r w:rsidR="000513E1" w:rsidRPr="00DF7495">
        <w:rPr>
          <w:lang w:val="es-CO"/>
        </w:rPr>
        <w:t>autogestionadas</w:t>
      </w:r>
      <w:r w:rsidR="00017A13" w:rsidRPr="00DF7495">
        <w:rPr>
          <w:lang w:val="es-CO"/>
        </w:rPr>
        <w:t xml:space="preserve"> corresponde</w:t>
      </w:r>
      <w:r w:rsidR="00570428" w:rsidRPr="00DF7495">
        <w:rPr>
          <w:lang w:val="es-CO"/>
        </w:rPr>
        <w:t>n</w:t>
      </w:r>
      <w:r w:rsidR="00017A13" w:rsidRPr="00DF7495">
        <w:rPr>
          <w:lang w:val="es-CO"/>
        </w:rPr>
        <w:t xml:space="preserve"> a estrategias de distribución de portafolio</w:t>
      </w:r>
      <w:r w:rsidR="00DC7906" w:rsidRPr="00DF7495">
        <w:rPr>
          <w:lang w:val="es-CO"/>
        </w:rPr>
        <w:t>s</w:t>
      </w:r>
      <w:r w:rsidR="00E5416B" w:rsidRPr="00DF7495">
        <w:rPr>
          <w:lang w:val="es-CO"/>
        </w:rPr>
        <w:t xml:space="preserve"> en las cuales</w:t>
      </w:r>
      <w:r w:rsidR="003804B6" w:rsidRPr="00DF7495">
        <w:rPr>
          <w:lang w:val="es-CO"/>
        </w:rPr>
        <w:t xml:space="preserve"> los partícipes</w:t>
      </w:r>
      <w:r w:rsidR="00E27BEE" w:rsidRPr="00DF7495">
        <w:rPr>
          <w:lang w:val="es-CO"/>
        </w:rPr>
        <w:t xml:space="preserve"> tom</w:t>
      </w:r>
      <w:r w:rsidR="00844E3E" w:rsidRPr="00DF7495">
        <w:rPr>
          <w:lang w:val="es-CO"/>
        </w:rPr>
        <w:t>a</w:t>
      </w:r>
      <w:r w:rsidR="00E27BEE" w:rsidRPr="00DF7495">
        <w:rPr>
          <w:lang w:val="es-CO"/>
        </w:rPr>
        <w:t>n las decisiones respecto de su inversión individual</w:t>
      </w:r>
      <w:r w:rsidR="00844E3E" w:rsidRPr="00DF7495">
        <w:rPr>
          <w:lang w:val="es-CO"/>
        </w:rPr>
        <w:t xml:space="preserve"> en cada uno de los portafolios ofrecidos por la sociedad administradora</w:t>
      </w:r>
      <w:r w:rsidR="00960A4B" w:rsidRPr="00DF7495">
        <w:rPr>
          <w:lang w:val="es-CO"/>
        </w:rPr>
        <w:t>.</w:t>
      </w:r>
    </w:p>
    <w:p w14:paraId="00FC507B" w14:textId="3642C17B" w:rsidR="00C107F0" w:rsidRPr="00DF7495" w:rsidRDefault="00C107F0" w:rsidP="007C1418">
      <w:pPr>
        <w:pBdr>
          <w:left w:val="single" w:sz="4" w:space="1" w:color="auto"/>
        </w:pBdr>
        <w:rPr>
          <w:lang w:val="es-CO"/>
        </w:rPr>
      </w:pPr>
    </w:p>
    <w:p w14:paraId="00E7A089" w14:textId="1FC57184" w:rsidR="00300054" w:rsidRPr="00DF7495" w:rsidRDefault="00D76DBC" w:rsidP="007C1418">
      <w:pPr>
        <w:pStyle w:val="Ttulo1"/>
        <w:pBdr>
          <w:left w:val="single" w:sz="4" w:space="1" w:color="auto"/>
        </w:pBdr>
        <w:rPr>
          <w:lang w:val="es-CO"/>
        </w:rPr>
      </w:pPr>
      <w:r w:rsidRPr="00DF7495">
        <w:rPr>
          <w:lang w:val="es-CO"/>
        </w:rPr>
        <w:t>MECANISMOS DE REVELACIÓN DE INFORMACIÓN</w:t>
      </w:r>
    </w:p>
    <w:p w14:paraId="74A08701" w14:textId="4D681817" w:rsidR="00124E82" w:rsidRPr="00DF7495" w:rsidRDefault="00124E82" w:rsidP="007C1418">
      <w:pPr>
        <w:pBdr>
          <w:left w:val="single" w:sz="4" w:space="1" w:color="auto"/>
        </w:pBdr>
        <w:rPr>
          <w:lang w:val="es-CO" w:eastAsia="es-ES"/>
        </w:rPr>
      </w:pPr>
    </w:p>
    <w:p w14:paraId="2D710565" w14:textId="2E1B9865" w:rsidR="00124E82" w:rsidRPr="00DF7495" w:rsidRDefault="00846EEE" w:rsidP="007C1418">
      <w:pPr>
        <w:pStyle w:val="Ttulo2"/>
        <w:pBdr>
          <w:left w:val="single" w:sz="4" w:space="1" w:color="auto"/>
        </w:pBdr>
        <w:rPr>
          <w:lang w:val="es-CO"/>
        </w:rPr>
      </w:pPr>
      <w:bookmarkStart w:id="0" w:name="_Ref62032950"/>
      <w:r w:rsidRPr="00DF7495">
        <w:rPr>
          <w:lang w:val="es-CO"/>
        </w:rPr>
        <w:t xml:space="preserve">Principios </w:t>
      </w:r>
      <w:r w:rsidR="00417588" w:rsidRPr="00DF7495">
        <w:rPr>
          <w:lang w:val="es-CO"/>
        </w:rPr>
        <w:t xml:space="preserve">generales </w:t>
      </w:r>
      <w:r w:rsidRPr="00DF7495">
        <w:rPr>
          <w:lang w:val="es-CO"/>
        </w:rPr>
        <w:t>de revelación de información</w:t>
      </w:r>
      <w:bookmarkEnd w:id="0"/>
      <w:r w:rsidRPr="00DF7495">
        <w:rPr>
          <w:lang w:val="es-CO"/>
        </w:rPr>
        <w:t xml:space="preserve"> </w:t>
      </w:r>
    </w:p>
    <w:p w14:paraId="3EDB93B1" w14:textId="636BB616" w:rsidR="00617B7B" w:rsidRPr="00DF7495" w:rsidRDefault="00617B7B" w:rsidP="007C1418">
      <w:pPr>
        <w:pBdr>
          <w:left w:val="single" w:sz="4" w:space="1" w:color="auto"/>
        </w:pBdr>
        <w:rPr>
          <w:lang w:val="es-CO" w:eastAsia="es-ES"/>
        </w:rPr>
      </w:pPr>
    </w:p>
    <w:p w14:paraId="08BDCDE3" w14:textId="7BE1FB4F" w:rsidR="00617B7B" w:rsidRPr="00DF7495" w:rsidRDefault="00D91AC3" w:rsidP="00642C13">
      <w:pPr>
        <w:pStyle w:val="Ttulo3"/>
        <w:pBdr>
          <w:left w:val="single" w:sz="4" w:space="1" w:color="auto"/>
        </w:pBdr>
        <w:rPr>
          <w:lang w:val="es-CO"/>
        </w:rPr>
      </w:pPr>
      <w:r w:rsidRPr="00DF7495">
        <w:rPr>
          <w:lang w:val="es-CO"/>
        </w:rPr>
        <w:t xml:space="preserve">Los mecanismos de revelación de información deben cumplir con los principios generales establecidos en el presente subnumeral. De esta manera, la </w:t>
      </w:r>
      <w:r w:rsidR="00617B7B" w:rsidRPr="00DF7495">
        <w:rPr>
          <w:lang w:val="es-CO"/>
        </w:rPr>
        <w:t xml:space="preserve">información </w:t>
      </w:r>
      <w:r w:rsidR="009F7BC5" w:rsidRPr="00DF7495">
        <w:rPr>
          <w:lang w:val="es-CO"/>
        </w:rPr>
        <w:t xml:space="preserve">contenida en los mismos </w:t>
      </w:r>
      <w:r w:rsidR="00617B7B" w:rsidRPr="00DF7495">
        <w:rPr>
          <w:lang w:val="es-CO"/>
        </w:rPr>
        <w:t>debe estar expresada en forma sencilla, clara y precisa, de tal manera que sea de fácil comprensión para los partícipes y les permita a estos conocer el estado de su inversión. Para el efecto</w:t>
      </w:r>
      <w:r w:rsidR="00B42D60" w:rsidRPr="00DF7495">
        <w:rPr>
          <w:lang w:val="es-CO"/>
        </w:rPr>
        <w:t>,</w:t>
      </w:r>
      <w:r w:rsidR="00617B7B" w:rsidRPr="00DF7495">
        <w:rPr>
          <w:lang w:val="es-CO"/>
        </w:rPr>
        <w:t xml:space="preserve"> la sociedad administradora debe</w:t>
      </w:r>
      <w:r w:rsidR="00B42D60" w:rsidRPr="00DF7495">
        <w:rPr>
          <w:lang w:val="es-CO"/>
        </w:rPr>
        <w:t xml:space="preserve"> </w:t>
      </w:r>
      <w:r w:rsidR="00E01C71" w:rsidRPr="00DF7495">
        <w:rPr>
          <w:lang w:val="es-CO"/>
        </w:rPr>
        <w:t xml:space="preserve">en </w:t>
      </w:r>
      <w:r w:rsidR="00B42D60" w:rsidRPr="00DF7495">
        <w:rPr>
          <w:lang w:val="es-CO"/>
        </w:rPr>
        <w:t>su diseño y remisión</w:t>
      </w:r>
      <w:r w:rsidR="00617B7B" w:rsidRPr="00DF7495">
        <w:rPr>
          <w:lang w:val="es-CO"/>
        </w:rPr>
        <w:t>:</w:t>
      </w:r>
    </w:p>
    <w:p w14:paraId="7490361C" w14:textId="77777777" w:rsidR="00617B7B" w:rsidRPr="00DF7495" w:rsidRDefault="00617B7B" w:rsidP="00642C13">
      <w:pPr>
        <w:pBdr>
          <w:left w:val="single" w:sz="4" w:space="1" w:color="auto"/>
        </w:pBdr>
        <w:rPr>
          <w:lang w:val="es-CO"/>
        </w:rPr>
      </w:pPr>
    </w:p>
    <w:p w14:paraId="40F671A1" w14:textId="48A45ABC" w:rsidR="00617B7B" w:rsidRDefault="00617B7B" w:rsidP="00642C13">
      <w:pPr>
        <w:pStyle w:val="Ttulo4"/>
        <w:pBdr>
          <w:left w:val="single" w:sz="4" w:space="1" w:color="auto"/>
        </w:pBdr>
        <w:ind w:left="0"/>
        <w:rPr>
          <w:lang w:val="es-CO"/>
        </w:rPr>
      </w:pPr>
      <w:r w:rsidRPr="00DF7495">
        <w:rPr>
          <w:lang w:val="es-CO"/>
        </w:rPr>
        <w:t xml:space="preserve">Utilizar palabras de uso común y evitar el lenguaje técnico para las explicaciones y contenidos, a menos que la explicación de los términos técnicos sea incorporada para su comprensión. </w:t>
      </w:r>
    </w:p>
    <w:p w14:paraId="6439C4A6" w14:textId="77777777" w:rsidR="007630EE" w:rsidRPr="007630EE" w:rsidRDefault="007630EE" w:rsidP="00642C13">
      <w:pPr>
        <w:pBdr>
          <w:left w:val="single" w:sz="4" w:space="1" w:color="auto"/>
        </w:pBdr>
        <w:rPr>
          <w:lang w:val="es-CO" w:eastAsia="es-ES"/>
        </w:rPr>
      </w:pPr>
    </w:p>
    <w:p w14:paraId="33FDB0CE" w14:textId="240717E6" w:rsidR="00617B7B" w:rsidRDefault="00617B7B" w:rsidP="00642C13">
      <w:pPr>
        <w:pStyle w:val="Ttulo4"/>
        <w:pBdr>
          <w:left w:val="single" w:sz="4" w:space="1" w:color="auto"/>
        </w:pBdr>
        <w:ind w:left="0"/>
        <w:rPr>
          <w:lang w:val="es-CO"/>
        </w:rPr>
      </w:pPr>
      <w:r w:rsidRPr="00DF7495">
        <w:rPr>
          <w:lang w:val="es-CO"/>
        </w:rPr>
        <w:t>Utilizar una redacción y estructura concisa en los textos escritos que facilite su lectura y comprensión.</w:t>
      </w:r>
    </w:p>
    <w:p w14:paraId="3F2CA008" w14:textId="77777777" w:rsidR="007630EE" w:rsidRPr="007630EE" w:rsidRDefault="007630EE" w:rsidP="00642C13">
      <w:pPr>
        <w:pBdr>
          <w:left w:val="single" w:sz="4" w:space="1" w:color="auto"/>
        </w:pBdr>
        <w:rPr>
          <w:lang w:val="es-CO" w:eastAsia="es-ES"/>
        </w:rPr>
      </w:pPr>
    </w:p>
    <w:p w14:paraId="621941CE" w14:textId="1E0746BF" w:rsidR="00617B7B" w:rsidRDefault="00617B7B" w:rsidP="00642C13">
      <w:pPr>
        <w:pStyle w:val="Ttulo4"/>
        <w:pBdr>
          <w:left w:val="single" w:sz="4" w:space="1" w:color="auto"/>
        </w:pBdr>
        <w:ind w:left="0"/>
        <w:rPr>
          <w:lang w:val="es-CO"/>
        </w:rPr>
      </w:pPr>
      <w:r w:rsidRPr="00DF7495">
        <w:rPr>
          <w:lang w:val="es-CO"/>
        </w:rPr>
        <w:t xml:space="preserve">Utilizar elementos de diseño, tales como: fuentes, tamaños, colores, diagramación, títulos, y el uso de espacio negativo o en blanco, de </w:t>
      </w:r>
      <w:r w:rsidR="00AD3860">
        <w:rPr>
          <w:lang w:val="es-CO"/>
        </w:rPr>
        <w:t>tal</w:t>
      </w:r>
      <w:r w:rsidRPr="00DF7495">
        <w:rPr>
          <w:lang w:val="es-CO"/>
        </w:rPr>
        <w:t xml:space="preserve"> manera que se logre la comunicación efectiva de los contenidos. </w:t>
      </w:r>
    </w:p>
    <w:p w14:paraId="738E4167" w14:textId="77777777" w:rsidR="007630EE" w:rsidRPr="007630EE" w:rsidRDefault="007630EE" w:rsidP="00642C13">
      <w:pPr>
        <w:pBdr>
          <w:left w:val="single" w:sz="4" w:space="1" w:color="auto"/>
        </w:pBdr>
        <w:rPr>
          <w:lang w:val="es-CO" w:eastAsia="es-ES"/>
        </w:rPr>
      </w:pPr>
    </w:p>
    <w:p w14:paraId="7DFE6EC6" w14:textId="31F6CF50" w:rsidR="00617B7B" w:rsidRPr="00DF7495" w:rsidRDefault="00617B7B" w:rsidP="00642C13">
      <w:pPr>
        <w:pStyle w:val="Ttulo4"/>
        <w:pBdr>
          <w:left w:val="single" w:sz="4" w:space="1" w:color="auto"/>
        </w:pBdr>
        <w:ind w:left="0"/>
        <w:rPr>
          <w:lang w:val="es-CO"/>
        </w:rPr>
      </w:pPr>
      <w:r w:rsidRPr="00DF7495">
        <w:rPr>
          <w:lang w:val="es-CO"/>
        </w:rPr>
        <w:t>Incorporar elementos adicionales que promuevan la comunicación y comprensión efectiva de los contenidos. Para el efecto</w:t>
      </w:r>
      <w:r w:rsidR="00194933" w:rsidRPr="00DF7495">
        <w:rPr>
          <w:lang w:val="es-CO"/>
        </w:rPr>
        <w:t xml:space="preserve"> </w:t>
      </w:r>
      <w:r w:rsidRPr="00DF7495">
        <w:rPr>
          <w:lang w:val="es-CO"/>
        </w:rPr>
        <w:t>pueden incluir: gráficas, tablas, infografías, listados, recuadros, íconos, formatos de preguntas y respuestas, y otros elementos visuales, gráficos o de texto en los cuales se agreguen contenidos al documento.</w:t>
      </w:r>
    </w:p>
    <w:p w14:paraId="647C00D5" w14:textId="0438E43E" w:rsidR="00D93E8B" w:rsidRPr="00DF7495" w:rsidRDefault="00D93E8B" w:rsidP="00642C13">
      <w:pPr>
        <w:pBdr>
          <w:left w:val="single" w:sz="4" w:space="1" w:color="auto"/>
        </w:pBdr>
        <w:rPr>
          <w:lang w:val="es-CO" w:eastAsia="es-ES"/>
        </w:rPr>
      </w:pPr>
    </w:p>
    <w:p w14:paraId="0EBC304C" w14:textId="7B7E6E56" w:rsidR="00D97661" w:rsidRPr="00DF7495" w:rsidRDefault="0026237E" w:rsidP="00642C13">
      <w:pPr>
        <w:pStyle w:val="Ttulo3"/>
        <w:pBdr>
          <w:left w:val="single" w:sz="4" w:space="1" w:color="auto"/>
        </w:pBdr>
        <w:rPr>
          <w:lang w:val="es-CO"/>
        </w:rPr>
      </w:pPr>
      <w:r w:rsidRPr="00DF7495">
        <w:rPr>
          <w:lang w:val="es-CO"/>
        </w:rPr>
        <w:t>Dentro de los mecanismos de revelación de información diferentes al reglamento, l</w:t>
      </w:r>
      <w:r w:rsidR="00E85E30" w:rsidRPr="00DF7495">
        <w:rPr>
          <w:lang w:val="es-CO"/>
        </w:rPr>
        <w:t>a sociedad administradora debe especificar de manera</w:t>
      </w:r>
      <w:r w:rsidR="00684C5D" w:rsidRPr="00DF7495">
        <w:rPr>
          <w:lang w:val="es-CO"/>
        </w:rPr>
        <w:t xml:space="preserve"> detallada los parámetros utilizados para </w:t>
      </w:r>
      <w:r w:rsidR="00A07552" w:rsidRPr="00DF7495">
        <w:rPr>
          <w:lang w:val="es-CO"/>
        </w:rPr>
        <w:t xml:space="preserve">determinar </w:t>
      </w:r>
      <w:r w:rsidR="005A790B" w:rsidRPr="00DF7495">
        <w:rPr>
          <w:lang w:val="es-CO"/>
        </w:rPr>
        <w:t>el valor de las</w:t>
      </w:r>
      <w:r w:rsidR="00A07552" w:rsidRPr="00DF7495">
        <w:rPr>
          <w:lang w:val="es-CO"/>
        </w:rPr>
        <w:t xml:space="preserve"> comisiones, así como</w:t>
      </w:r>
      <w:r w:rsidR="00936F46" w:rsidRPr="00DF7495">
        <w:rPr>
          <w:lang w:val="es-CO"/>
        </w:rPr>
        <w:t xml:space="preserve">, </w:t>
      </w:r>
      <w:r w:rsidR="00BE1C0C" w:rsidRPr="00DF7495">
        <w:rPr>
          <w:lang w:val="es-CO"/>
        </w:rPr>
        <w:t>según</w:t>
      </w:r>
      <w:r w:rsidR="00004E23" w:rsidRPr="00DF7495">
        <w:rPr>
          <w:lang w:val="es-CO"/>
        </w:rPr>
        <w:t xml:space="preserve"> la alternativa</w:t>
      </w:r>
      <w:r w:rsidR="005A790B" w:rsidRPr="00DF7495">
        <w:rPr>
          <w:lang w:val="es-CO"/>
        </w:rPr>
        <w:t xml:space="preserve"> ofrecida</w:t>
      </w:r>
      <w:r w:rsidR="00004E23" w:rsidRPr="00DF7495">
        <w:rPr>
          <w:lang w:val="es-CO"/>
        </w:rPr>
        <w:t xml:space="preserve">, </w:t>
      </w:r>
      <w:r w:rsidR="00A33D8C" w:rsidRPr="00DF7495">
        <w:rPr>
          <w:lang w:val="es-CO"/>
        </w:rPr>
        <w:t xml:space="preserve">si </w:t>
      </w:r>
      <w:r w:rsidR="00004E23" w:rsidRPr="00DF7495">
        <w:rPr>
          <w:lang w:val="es-CO"/>
        </w:rPr>
        <w:t>el cobro se realiza</w:t>
      </w:r>
      <w:r w:rsidR="00936F46" w:rsidRPr="00DF7495">
        <w:rPr>
          <w:lang w:val="es-CO"/>
        </w:rPr>
        <w:t xml:space="preserve"> a nivel de alternativa o a nivel de los portafolios que la componen, según lo definido en el reglamento. </w:t>
      </w:r>
    </w:p>
    <w:p w14:paraId="7770952B" w14:textId="77777777" w:rsidR="008C729D" w:rsidRPr="00DF7495" w:rsidRDefault="008C729D" w:rsidP="007C1418">
      <w:pPr>
        <w:pBdr>
          <w:left w:val="single" w:sz="4" w:space="1" w:color="auto"/>
        </w:pBdr>
        <w:rPr>
          <w:highlight w:val="yellow"/>
          <w:lang w:val="es-CO" w:eastAsia="es-ES"/>
        </w:rPr>
      </w:pPr>
    </w:p>
    <w:p w14:paraId="4135D5DE" w14:textId="306F1E7E" w:rsidR="00300054" w:rsidRPr="00DF7495" w:rsidRDefault="00DE0CE1" w:rsidP="007C1418">
      <w:pPr>
        <w:pStyle w:val="Ttulo2"/>
        <w:pBdr>
          <w:left w:val="single" w:sz="4" w:space="1" w:color="auto"/>
        </w:pBdr>
        <w:rPr>
          <w:lang w:val="es-CO"/>
        </w:rPr>
      </w:pPr>
      <w:r w:rsidRPr="00DF7495">
        <w:rPr>
          <w:lang w:val="es-CO"/>
        </w:rPr>
        <w:t>Contenido mínimo de los reglamentos de funcionamiento</w:t>
      </w:r>
    </w:p>
    <w:p w14:paraId="2541FBCE" w14:textId="6F65D70A" w:rsidR="004D31F0" w:rsidRPr="00DF7495" w:rsidRDefault="004D31F0" w:rsidP="007C1418">
      <w:pPr>
        <w:pBdr>
          <w:left w:val="single" w:sz="4" w:space="1" w:color="auto"/>
        </w:pBdr>
        <w:rPr>
          <w:lang w:val="es-CO" w:eastAsia="es-ES"/>
        </w:rPr>
      </w:pPr>
    </w:p>
    <w:p w14:paraId="5A5C494B" w14:textId="2AC6C898" w:rsidR="00555464" w:rsidRPr="00DF7495" w:rsidRDefault="007B2CB4" w:rsidP="007C1418">
      <w:pPr>
        <w:pBdr>
          <w:left w:val="single" w:sz="4" w:space="1" w:color="auto"/>
        </w:pBdr>
        <w:rPr>
          <w:lang w:val="es-CO" w:eastAsia="es-ES"/>
        </w:rPr>
      </w:pPr>
      <w:r w:rsidRPr="00DF7495">
        <w:rPr>
          <w:lang w:val="es-CO" w:eastAsia="es-ES"/>
        </w:rPr>
        <w:t xml:space="preserve">Los reglamentos de funcionamiento de los FVP deben </w:t>
      </w:r>
      <w:r w:rsidR="00E2104F" w:rsidRPr="00DF7495">
        <w:rPr>
          <w:lang w:val="es-CO" w:eastAsia="es-ES"/>
        </w:rPr>
        <w:t>contener</w:t>
      </w:r>
      <w:r w:rsidR="006B1DA8" w:rsidRPr="00DF7495">
        <w:rPr>
          <w:lang w:val="es-CO" w:eastAsia="es-ES"/>
        </w:rPr>
        <w:t>,</w:t>
      </w:r>
      <w:r w:rsidRPr="00DF7495">
        <w:rPr>
          <w:lang w:val="es-CO" w:eastAsia="es-ES"/>
        </w:rPr>
        <w:t xml:space="preserve"> como mínimo</w:t>
      </w:r>
      <w:r w:rsidR="006B1DA8" w:rsidRPr="00DF7495">
        <w:rPr>
          <w:lang w:val="es-CO" w:eastAsia="es-ES"/>
        </w:rPr>
        <w:t>,</w:t>
      </w:r>
      <w:r w:rsidRPr="00DF7495">
        <w:rPr>
          <w:lang w:val="es-CO" w:eastAsia="es-ES"/>
        </w:rPr>
        <w:t xml:space="preserve"> la información que </w:t>
      </w:r>
      <w:r w:rsidR="005E4038" w:rsidRPr="00DF7495">
        <w:rPr>
          <w:lang w:val="es-CO" w:eastAsia="es-ES"/>
        </w:rPr>
        <w:t xml:space="preserve">para los mismos se </w:t>
      </w:r>
      <w:r w:rsidR="000C1ECE" w:rsidRPr="00DF7495">
        <w:rPr>
          <w:lang w:val="es-CO" w:eastAsia="es-ES"/>
        </w:rPr>
        <w:t>incluye</w:t>
      </w:r>
      <w:r w:rsidR="005E4038" w:rsidRPr="00DF7495">
        <w:rPr>
          <w:lang w:val="es-CO" w:eastAsia="es-ES"/>
        </w:rPr>
        <w:t xml:space="preserve"> en el </w:t>
      </w:r>
      <w:r w:rsidR="00F03E33" w:rsidRPr="00DF7495">
        <w:rPr>
          <w:lang w:val="es-CO" w:eastAsia="es-ES"/>
        </w:rPr>
        <w:t>“</w:t>
      </w:r>
      <w:r w:rsidR="005E4038" w:rsidRPr="00DF7495">
        <w:rPr>
          <w:lang w:val="es-CO" w:eastAsia="es-ES"/>
        </w:rPr>
        <w:t>A</w:t>
      </w:r>
      <w:r w:rsidR="00F03E33" w:rsidRPr="00DF7495">
        <w:rPr>
          <w:lang w:val="es-CO" w:eastAsia="es-ES"/>
        </w:rPr>
        <w:t>NEXO</w:t>
      </w:r>
      <w:r w:rsidR="005E4038" w:rsidRPr="00DF7495">
        <w:rPr>
          <w:lang w:val="es-CO" w:eastAsia="es-ES"/>
        </w:rPr>
        <w:t xml:space="preserve"> </w:t>
      </w:r>
      <w:r w:rsidR="00D01ADD" w:rsidRPr="00DF7495">
        <w:rPr>
          <w:lang w:val="es-CO" w:eastAsia="es-ES"/>
        </w:rPr>
        <w:t>3</w:t>
      </w:r>
      <w:r w:rsidR="00F03E33" w:rsidRPr="00DF7495">
        <w:rPr>
          <w:lang w:val="es-CO" w:eastAsia="es-ES"/>
        </w:rPr>
        <w:t>: CONTENIDO MÍNIMO DEL REGLAMENTO DEL FUNCIONAMIENTO FVP”</w:t>
      </w:r>
      <w:r w:rsidR="005E4038" w:rsidRPr="00DF7495">
        <w:rPr>
          <w:lang w:val="es-CO" w:eastAsia="es-ES"/>
        </w:rPr>
        <w:t>.</w:t>
      </w:r>
      <w:r w:rsidR="00361441" w:rsidRPr="00DF7495">
        <w:rPr>
          <w:lang w:val="es-CO" w:eastAsia="es-ES"/>
        </w:rPr>
        <w:t xml:space="preserve"> </w:t>
      </w:r>
    </w:p>
    <w:p w14:paraId="7DA93739" w14:textId="77777777" w:rsidR="00134708" w:rsidRPr="00DF7495" w:rsidRDefault="00134708" w:rsidP="007C1418">
      <w:pPr>
        <w:pBdr>
          <w:left w:val="single" w:sz="4" w:space="1" w:color="auto"/>
        </w:pBdr>
        <w:rPr>
          <w:lang w:val="es-CO" w:eastAsia="es-ES"/>
        </w:rPr>
      </w:pPr>
    </w:p>
    <w:p w14:paraId="6136C6F5" w14:textId="77777777" w:rsidR="00D26143" w:rsidRPr="00DF7495" w:rsidRDefault="001368F7" w:rsidP="007C1418">
      <w:pPr>
        <w:pBdr>
          <w:left w:val="single" w:sz="4" w:space="1" w:color="auto"/>
        </w:pBdr>
        <w:rPr>
          <w:lang w:val="es-CO" w:eastAsia="es-ES"/>
        </w:rPr>
      </w:pPr>
      <w:r w:rsidRPr="00DF7495">
        <w:rPr>
          <w:lang w:val="es-CO" w:eastAsia="es-ES"/>
        </w:rPr>
        <w:t>La</w:t>
      </w:r>
      <w:r w:rsidR="00C64E01" w:rsidRPr="00DF7495">
        <w:rPr>
          <w:lang w:val="es-CO" w:eastAsia="es-ES"/>
        </w:rPr>
        <w:t xml:space="preserve"> información contenida en </w:t>
      </w:r>
      <w:r w:rsidR="00BB7908" w:rsidRPr="00DF7495">
        <w:rPr>
          <w:lang w:val="es-CO" w:eastAsia="es-ES"/>
        </w:rPr>
        <w:t>los</w:t>
      </w:r>
      <w:r w:rsidR="00C64E01" w:rsidRPr="00DF7495">
        <w:rPr>
          <w:lang w:val="es-CO" w:eastAsia="es-ES"/>
        </w:rPr>
        <w:t xml:space="preserve"> Capítulo II “Información y características de los planes”</w:t>
      </w:r>
      <w:r w:rsidRPr="00DF7495">
        <w:rPr>
          <w:lang w:val="es-CO" w:eastAsia="es-ES"/>
        </w:rPr>
        <w:t xml:space="preserve"> </w:t>
      </w:r>
      <w:r w:rsidR="00BF7A55" w:rsidRPr="00DF7495">
        <w:rPr>
          <w:lang w:val="es-CO" w:eastAsia="es-ES"/>
        </w:rPr>
        <w:t>y el Capítulo IV “</w:t>
      </w:r>
      <w:r w:rsidR="0096394E" w:rsidRPr="00DF7495">
        <w:rPr>
          <w:lang w:val="es-CO" w:eastAsia="es-ES"/>
        </w:rPr>
        <w:t xml:space="preserve">Entidades Patrocinadoras” </w:t>
      </w:r>
      <w:r w:rsidRPr="00DF7495">
        <w:rPr>
          <w:lang w:val="es-CO" w:eastAsia="es-ES"/>
        </w:rPr>
        <w:t xml:space="preserve">respecto de planes institucionales, únicamente puede ser revelada </w:t>
      </w:r>
      <w:r w:rsidR="00AE4899" w:rsidRPr="00DF7495">
        <w:rPr>
          <w:lang w:val="es-CO" w:eastAsia="es-ES"/>
        </w:rPr>
        <w:t xml:space="preserve">a </w:t>
      </w:r>
      <w:r w:rsidRPr="00DF7495">
        <w:rPr>
          <w:lang w:val="es-CO" w:eastAsia="es-ES"/>
        </w:rPr>
        <w:t>a</w:t>
      </w:r>
      <w:r w:rsidR="00C37179" w:rsidRPr="00DF7495">
        <w:rPr>
          <w:lang w:val="es-CO" w:eastAsia="es-ES"/>
        </w:rPr>
        <w:t xml:space="preserve">quellas personas que cumplan las condiciones de admisión </w:t>
      </w:r>
      <w:r w:rsidR="005B500E" w:rsidRPr="00DF7495">
        <w:rPr>
          <w:lang w:val="es-CO" w:eastAsia="es-ES"/>
        </w:rPr>
        <w:t xml:space="preserve">del </w:t>
      </w:r>
      <w:r w:rsidR="00ED1B54" w:rsidRPr="00DF7495">
        <w:rPr>
          <w:lang w:val="es-CO" w:eastAsia="es-ES"/>
        </w:rPr>
        <w:t xml:space="preserve">respectivo </w:t>
      </w:r>
      <w:r w:rsidR="00C37179" w:rsidRPr="00DF7495">
        <w:rPr>
          <w:lang w:val="es-CO" w:eastAsia="es-ES"/>
        </w:rPr>
        <w:t>plan institucional</w:t>
      </w:r>
      <w:r w:rsidR="004357B0" w:rsidRPr="00DF7495">
        <w:rPr>
          <w:lang w:val="es-CO" w:eastAsia="es-ES"/>
        </w:rPr>
        <w:t xml:space="preserve"> para preservar </w:t>
      </w:r>
      <w:r w:rsidR="00F46EA2" w:rsidRPr="00DF7495">
        <w:rPr>
          <w:lang w:val="es-CO" w:eastAsia="es-ES"/>
        </w:rPr>
        <w:t xml:space="preserve">su carácter confidencial y reservado. </w:t>
      </w:r>
    </w:p>
    <w:p w14:paraId="5744E48D" w14:textId="77777777" w:rsidR="00D26143" w:rsidRPr="00DF7495" w:rsidRDefault="00D26143" w:rsidP="007C1418">
      <w:pPr>
        <w:pBdr>
          <w:left w:val="single" w:sz="4" w:space="1" w:color="auto"/>
        </w:pBdr>
        <w:rPr>
          <w:lang w:val="es-CO" w:eastAsia="es-ES"/>
        </w:rPr>
      </w:pPr>
    </w:p>
    <w:p w14:paraId="41781589" w14:textId="6B3E2A6E" w:rsidR="00134708" w:rsidRPr="00DF7495" w:rsidRDefault="00F46EA2" w:rsidP="007C1418">
      <w:pPr>
        <w:pBdr>
          <w:left w:val="single" w:sz="4" w:space="1" w:color="auto"/>
        </w:pBdr>
        <w:rPr>
          <w:lang w:val="es-CO" w:eastAsia="es-ES"/>
        </w:rPr>
      </w:pPr>
      <w:r w:rsidRPr="00DF7495">
        <w:rPr>
          <w:lang w:val="es-CO" w:eastAsia="es-ES"/>
        </w:rPr>
        <w:t xml:space="preserve">En esta medida, la sociedad administradora debe mantener dicha información en un </w:t>
      </w:r>
      <w:r w:rsidR="008355B4" w:rsidRPr="00DF7495">
        <w:rPr>
          <w:lang w:val="es-CO" w:eastAsia="es-ES"/>
        </w:rPr>
        <w:t>anexo</w:t>
      </w:r>
      <w:r w:rsidRPr="00DF7495">
        <w:rPr>
          <w:lang w:val="es-CO" w:eastAsia="es-ES"/>
        </w:rPr>
        <w:t xml:space="preserve"> aparte del reglamento </w:t>
      </w:r>
      <w:r w:rsidR="00E84F00" w:rsidRPr="00DF7495">
        <w:rPr>
          <w:lang w:val="es-CO" w:eastAsia="es-ES"/>
        </w:rPr>
        <w:t>de funcionamiento del FVP</w:t>
      </w:r>
      <w:r w:rsidR="00A901F5" w:rsidRPr="00DF7495">
        <w:rPr>
          <w:lang w:val="es-CO" w:eastAsia="es-ES"/>
        </w:rPr>
        <w:t xml:space="preserve">, el cual debe estar a disposición de </w:t>
      </w:r>
      <w:r w:rsidR="00D34534" w:rsidRPr="00DF7495">
        <w:rPr>
          <w:lang w:val="es-CO" w:eastAsia="es-ES"/>
        </w:rPr>
        <w:t>los partícipes y potenciales participes del respectivo plan institucional.</w:t>
      </w:r>
      <w:r w:rsidR="00E84F00" w:rsidRPr="00DF7495">
        <w:rPr>
          <w:lang w:val="es-CO" w:eastAsia="es-ES"/>
        </w:rPr>
        <w:t xml:space="preserve"> </w:t>
      </w:r>
    </w:p>
    <w:p w14:paraId="4AEEC069" w14:textId="44585F20" w:rsidR="00347C23" w:rsidRPr="00DF7495" w:rsidRDefault="00347C23" w:rsidP="007C1418">
      <w:pPr>
        <w:pBdr>
          <w:left w:val="single" w:sz="4" w:space="1" w:color="auto"/>
        </w:pBdr>
        <w:rPr>
          <w:lang w:val="es-CO" w:eastAsia="es-ES"/>
        </w:rPr>
      </w:pPr>
    </w:p>
    <w:p w14:paraId="573D9265" w14:textId="3B51139B" w:rsidR="00347C23" w:rsidRPr="00DF7495" w:rsidRDefault="00347C23" w:rsidP="007C1418">
      <w:pPr>
        <w:pStyle w:val="Ttulo2"/>
        <w:pBdr>
          <w:left w:val="single" w:sz="4" w:space="1" w:color="auto"/>
        </w:pBdr>
        <w:rPr>
          <w:lang w:val="es-CO"/>
        </w:rPr>
      </w:pPr>
      <w:r w:rsidRPr="00DF7495">
        <w:rPr>
          <w:lang w:val="es-CO"/>
        </w:rPr>
        <w:t xml:space="preserve">Deberes de información en las alternativas </w:t>
      </w:r>
    </w:p>
    <w:p w14:paraId="70260242" w14:textId="77777777" w:rsidR="00347C23" w:rsidRPr="00DF7495" w:rsidRDefault="00347C23" w:rsidP="007C1418">
      <w:pPr>
        <w:pBdr>
          <w:left w:val="single" w:sz="4" w:space="1" w:color="auto"/>
        </w:pBdr>
        <w:rPr>
          <w:lang w:val="es-CO" w:eastAsia="es-ES"/>
        </w:rPr>
      </w:pPr>
    </w:p>
    <w:p w14:paraId="7D318872" w14:textId="77777777" w:rsidR="00347C23" w:rsidRPr="00DF7495" w:rsidRDefault="00347C23" w:rsidP="007C1418">
      <w:pPr>
        <w:pStyle w:val="Ttulo3"/>
        <w:pBdr>
          <w:left w:val="single" w:sz="4" w:space="1" w:color="auto"/>
        </w:pBdr>
        <w:rPr>
          <w:lang w:val="es-CO"/>
        </w:rPr>
      </w:pPr>
      <w:r w:rsidRPr="00DF7495">
        <w:rPr>
          <w:lang w:val="es-CO"/>
        </w:rPr>
        <w:t xml:space="preserve">Documento que contenga la descripción general de las alternativas estandarizadas. </w:t>
      </w:r>
    </w:p>
    <w:p w14:paraId="704C81F6" w14:textId="77777777" w:rsidR="00347C23" w:rsidRPr="00DF7495" w:rsidRDefault="00347C23" w:rsidP="007C1418">
      <w:pPr>
        <w:pBdr>
          <w:left w:val="single" w:sz="4" w:space="1" w:color="auto"/>
        </w:pBdr>
        <w:rPr>
          <w:lang w:val="es-CO" w:eastAsia="es-ES"/>
        </w:rPr>
      </w:pPr>
    </w:p>
    <w:p w14:paraId="4222A0A5" w14:textId="77777777" w:rsidR="00347C23" w:rsidRPr="00DF7495" w:rsidRDefault="00347C23" w:rsidP="00642C13">
      <w:pPr>
        <w:pBdr>
          <w:left w:val="single" w:sz="4" w:space="1" w:color="auto"/>
        </w:pBdr>
        <w:rPr>
          <w:lang w:val="es-CO" w:eastAsia="es-ES"/>
        </w:rPr>
      </w:pPr>
      <w:r w:rsidRPr="00DF7495">
        <w:rPr>
          <w:lang w:val="es-CO" w:eastAsia="es-ES"/>
        </w:rPr>
        <w:t xml:space="preserve">Sin perjuicio que en el documento de vinculación señale las condiciones particulares de la inversión, la sociedad administradora deberá contar con un documento que contenga la descripción general de las alternativas estandarizadas, que incluya, como mínimo, la siguiente información: </w:t>
      </w:r>
    </w:p>
    <w:p w14:paraId="4579B188" w14:textId="77777777" w:rsidR="00347C23" w:rsidRPr="00DF7495" w:rsidRDefault="00347C23" w:rsidP="00642C13">
      <w:pPr>
        <w:pBdr>
          <w:left w:val="single" w:sz="4" w:space="1" w:color="auto"/>
        </w:pBdr>
        <w:rPr>
          <w:lang w:val="es-CO" w:eastAsia="es-ES"/>
        </w:rPr>
      </w:pPr>
    </w:p>
    <w:p w14:paraId="689C9535" w14:textId="33421188" w:rsidR="00347C23" w:rsidRPr="00DF7495" w:rsidRDefault="00347C23" w:rsidP="00642C13">
      <w:pPr>
        <w:pStyle w:val="Ttulo4"/>
        <w:pBdr>
          <w:left w:val="single" w:sz="4" w:space="1" w:color="auto"/>
        </w:pBdr>
        <w:ind w:left="0"/>
        <w:rPr>
          <w:lang w:val="es-CO"/>
        </w:rPr>
      </w:pPr>
      <w:r w:rsidRPr="00DF7495">
        <w:rPr>
          <w:lang w:val="es-CO"/>
        </w:rPr>
        <w:t>Relación pormenorizada de las comisiones fijas y variables que se cobraran para la respectiva alternativa estandarizada. Para ello, se indicará si el cobro de las comisiones se va a realizar de manera agregada por los portafolios que componen la alternativa estandarizada</w:t>
      </w:r>
      <w:r w:rsidR="006F586C">
        <w:rPr>
          <w:lang w:val="es-CO"/>
        </w:rPr>
        <w:t xml:space="preserve"> y/o por la alternativa estandarizada</w:t>
      </w:r>
      <w:r w:rsidRPr="00DF7495">
        <w:rPr>
          <w:lang w:val="es-CO"/>
        </w:rPr>
        <w:t xml:space="preserve">, según lo establecido en el reglamento. </w:t>
      </w:r>
    </w:p>
    <w:p w14:paraId="5A14F42F" w14:textId="77777777" w:rsidR="00347C23" w:rsidRPr="00DF7495" w:rsidRDefault="00347C23" w:rsidP="00642C13">
      <w:pPr>
        <w:pBdr>
          <w:left w:val="single" w:sz="4" w:space="1" w:color="auto"/>
        </w:pBdr>
        <w:rPr>
          <w:lang w:val="es-CO" w:eastAsia="es-ES"/>
        </w:rPr>
      </w:pPr>
    </w:p>
    <w:p w14:paraId="70E8986C" w14:textId="77777777" w:rsidR="00347C23" w:rsidRPr="00DF7495" w:rsidRDefault="00347C23" w:rsidP="00642C13">
      <w:pPr>
        <w:pStyle w:val="Ttulo4"/>
        <w:pBdr>
          <w:left w:val="single" w:sz="4" w:space="1" w:color="auto"/>
        </w:pBdr>
        <w:ind w:left="0"/>
        <w:rPr>
          <w:lang w:val="es-CO"/>
        </w:rPr>
      </w:pPr>
      <w:r w:rsidRPr="00DF7495">
        <w:rPr>
          <w:lang w:val="es-CO"/>
        </w:rPr>
        <w:t>El término de duración de la alternativa estandarizada.</w:t>
      </w:r>
    </w:p>
    <w:p w14:paraId="262C4FE9" w14:textId="77777777" w:rsidR="00347C23" w:rsidRPr="00DF7495" w:rsidRDefault="00347C23" w:rsidP="00642C13">
      <w:pPr>
        <w:pBdr>
          <w:left w:val="single" w:sz="4" w:space="1" w:color="auto"/>
        </w:pBdr>
        <w:rPr>
          <w:lang w:val="es-CO" w:eastAsia="es-ES"/>
        </w:rPr>
      </w:pPr>
    </w:p>
    <w:p w14:paraId="0D026E0C" w14:textId="77777777" w:rsidR="00347C23" w:rsidRPr="00DF7495" w:rsidRDefault="00347C23" w:rsidP="00642C13">
      <w:pPr>
        <w:pStyle w:val="Ttulo4"/>
        <w:pBdr>
          <w:left w:val="single" w:sz="4" w:space="1" w:color="auto"/>
        </w:pBdr>
        <w:ind w:left="0"/>
        <w:rPr>
          <w:lang w:val="es-CO"/>
        </w:rPr>
      </w:pPr>
      <w:r w:rsidRPr="00DF7495">
        <w:rPr>
          <w:lang w:val="es-CO"/>
        </w:rPr>
        <w:t>Las causales y procedimientos para su terminación anticipada.</w:t>
      </w:r>
    </w:p>
    <w:p w14:paraId="31447204" w14:textId="77777777" w:rsidR="00347C23" w:rsidRPr="00DF7495" w:rsidRDefault="00347C23" w:rsidP="00642C13">
      <w:pPr>
        <w:pBdr>
          <w:left w:val="single" w:sz="4" w:space="1" w:color="auto"/>
        </w:pBdr>
        <w:rPr>
          <w:lang w:val="es-CO" w:eastAsia="es-ES"/>
        </w:rPr>
      </w:pPr>
    </w:p>
    <w:p w14:paraId="29D6CB03" w14:textId="78541E4E" w:rsidR="00347C23" w:rsidRPr="00DF7495" w:rsidRDefault="00347C23" w:rsidP="00642C13">
      <w:pPr>
        <w:pStyle w:val="Ttulo4"/>
        <w:pBdr>
          <w:left w:val="single" w:sz="4" w:space="1" w:color="auto"/>
        </w:pBdr>
        <w:ind w:left="0"/>
        <w:rPr>
          <w:lang w:val="es-CO"/>
        </w:rPr>
      </w:pPr>
      <w:r w:rsidRPr="00DF7495">
        <w:rPr>
          <w:lang w:val="es-CO"/>
        </w:rPr>
        <w:t xml:space="preserve">Información sobre el funcionamiento de la alternativa estandarizada, </w:t>
      </w:r>
      <w:r w:rsidR="001D6CCA" w:rsidRPr="00DF7495">
        <w:rPr>
          <w:lang w:val="es-CO"/>
        </w:rPr>
        <w:t>incluyendo,</w:t>
      </w:r>
      <w:r w:rsidRPr="00DF7495">
        <w:rPr>
          <w:lang w:val="es-CO"/>
        </w:rPr>
        <w:t xml:space="preserve"> pero sin limitarse, a las reglas y procedimientos para el aporte y redención de recursos por parte de los partícipes. </w:t>
      </w:r>
    </w:p>
    <w:p w14:paraId="3036F77A" w14:textId="77777777" w:rsidR="00347C23" w:rsidRPr="00DF7495" w:rsidRDefault="00347C23" w:rsidP="00642C13">
      <w:pPr>
        <w:pBdr>
          <w:left w:val="single" w:sz="4" w:space="1" w:color="auto"/>
        </w:pBdr>
        <w:rPr>
          <w:lang w:val="es-CO" w:eastAsia="es-ES"/>
        </w:rPr>
      </w:pPr>
    </w:p>
    <w:p w14:paraId="47C0BE70" w14:textId="77777777" w:rsidR="00347C23" w:rsidRPr="00DF7495" w:rsidRDefault="00347C23" w:rsidP="00642C13">
      <w:pPr>
        <w:pStyle w:val="Ttulo4"/>
        <w:pBdr>
          <w:left w:val="single" w:sz="4" w:space="1" w:color="auto"/>
        </w:pBdr>
        <w:ind w:left="0"/>
        <w:rPr>
          <w:lang w:val="es-CO"/>
        </w:rPr>
      </w:pPr>
      <w:r w:rsidRPr="00DF7495">
        <w:rPr>
          <w:lang w:val="es-CO"/>
        </w:rPr>
        <w:t>El plan de inversiones de la alternativa estandarizada, el cual deberá incluir los siguientes aspectos:</w:t>
      </w:r>
    </w:p>
    <w:p w14:paraId="4856B497" w14:textId="77777777" w:rsidR="00347C23" w:rsidRPr="00DF7495" w:rsidRDefault="00347C23" w:rsidP="00642C13">
      <w:pPr>
        <w:pBdr>
          <w:left w:val="single" w:sz="4" w:space="1" w:color="auto"/>
        </w:pBdr>
        <w:rPr>
          <w:lang w:val="es-CO" w:eastAsia="es-ES"/>
        </w:rPr>
      </w:pPr>
    </w:p>
    <w:p w14:paraId="415ADFE5" w14:textId="77777777" w:rsidR="00347C23" w:rsidRPr="00DF7495" w:rsidRDefault="00347C23" w:rsidP="00642C13">
      <w:pPr>
        <w:pStyle w:val="Ttulo5"/>
        <w:pBdr>
          <w:left w:val="single" w:sz="4" w:space="1" w:color="auto"/>
        </w:pBdr>
        <w:rPr>
          <w:lang w:val="es-CO"/>
        </w:rPr>
      </w:pPr>
      <w:r w:rsidRPr="00DF7495">
        <w:rPr>
          <w:lang w:val="es-CO"/>
        </w:rPr>
        <w:t>Objeto de la alternativa estandarizada.</w:t>
      </w:r>
    </w:p>
    <w:p w14:paraId="564C2244" w14:textId="77777777" w:rsidR="00347C23" w:rsidRPr="00DF7495" w:rsidRDefault="00347C23" w:rsidP="00642C13">
      <w:pPr>
        <w:pBdr>
          <w:left w:val="single" w:sz="4" w:space="1" w:color="auto"/>
        </w:pBdr>
        <w:rPr>
          <w:lang w:val="es-CO" w:eastAsia="es-ES"/>
        </w:rPr>
      </w:pPr>
    </w:p>
    <w:p w14:paraId="41CB6EE2" w14:textId="77777777" w:rsidR="00347C23" w:rsidRPr="00DF7495" w:rsidRDefault="00347C23" w:rsidP="00642C13">
      <w:pPr>
        <w:pStyle w:val="Ttulo5"/>
        <w:pBdr>
          <w:left w:val="single" w:sz="4" w:space="1" w:color="auto"/>
        </w:pBdr>
        <w:rPr>
          <w:lang w:val="es-CO"/>
        </w:rPr>
      </w:pPr>
      <w:r w:rsidRPr="00DF7495">
        <w:rPr>
          <w:lang w:val="es-CO"/>
        </w:rPr>
        <w:t xml:space="preserve">Relación de los portafolios que se consideran aceptables para invertir, junto con su diversificación, de conformidad con el objeto de la alternativa estandarizada. </w:t>
      </w:r>
    </w:p>
    <w:p w14:paraId="3469A852" w14:textId="77777777" w:rsidR="00347C23" w:rsidRPr="00DF7495" w:rsidRDefault="00347C23" w:rsidP="00642C13">
      <w:pPr>
        <w:pBdr>
          <w:left w:val="single" w:sz="4" w:space="1" w:color="auto"/>
        </w:pBdr>
        <w:rPr>
          <w:lang w:val="es-CO" w:eastAsia="es-ES"/>
        </w:rPr>
      </w:pPr>
    </w:p>
    <w:p w14:paraId="546B31EC" w14:textId="77777777" w:rsidR="00347C23" w:rsidRPr="00DF7495" w:rsidRDefault="00347C23" w:rsidP="00642C13">
      <w:pPr>
        <w:pStyle w:val="Ttulo5"/>
        <w:pBdr>
          <w:left w:val="single" w:sz="4" w:space="1" w:color="auto"/>
        </w:pBdr>
        <w:rPr>
          <w:lang w:val="es-CO"/>
        </w:rPr>
      </w:pPr>
      <w:r w:rsidRPr="00DF7495">
        <w:rPr>
          <w:lang w:val="es-CO"/>
        </w:rPr>
        <w:t>Información general de los portafolios que componen la alternativa estandarizada.</w:t>
      </w:r>
    </w:p>
    <w:p w14:paraId="2F67064C" w14:textId="77777777" w:rsidR="00347C23" w:rsidRPr="00DF7495" w:rsidRDefault="00347C23" w:rsidP="00642C13">
      <w:pPr>
        <w:pBdr>
          <w:left w:val="single" w:sz="4" w:space="1" w:color="auto"/>
        </w:pBdr>
        <w:rPr>
          <w:lang w:val="es-CO" w:eastAsia="es-ES"/>
        </w:rPr>
      </w:pPr>
    </w:p>
    <w:p w14:paraId="1E696A1A" w14:textId="77777777" w:rsidR="00347C23" w:rsidRPr="00DF7495" w:rsidRDefault="00347C23" w:rsidP="00642C13">
      <w:pPr>
        <w:pStyle w:val="Ttulo5"/>
        <w:pBdr>
          <w:left w:val="single" w:sz="4" w:space="1" w:color="auto"/>
        </w:pBdr>
        <w:rPr>
          <w:lang w:val="es-CO"/>
        </w:rPr>
      </w:pPr>
      <w:r w:rsidRPr="00DF7495">
        <w:rPr>
          <w:lang w:val="es-CO"/>
        </w:rPr>
        <w:t xml:space="preserve">Determinación de los límites mínimos y máximos de inversión por portafolio. </w:t>
      </w:r>
    </w:p>
    <w:p w14:paraId="4D182EC7" w14:textId="77777777" w:rsidR="00347C23" w:rsidRPr="00DF7495" w:rsidRDefault="00347C23" w:rsidP="00642C13">
      <w:pPr>
        <w:pBdr>
          <w:left w:val="single" w:sz="4" w:space="1" w:color="auto"/>
        </w:pBdr>
        <w:rPr>
          <w:lang w:val="es-CO" w:eastAsia="es-ES"/>
        </w:rPr>
      </w:pPr>
    </w:p>
    <w:p w14:paraId="5E479099" w14:textId="3052142A" w:rsidR="0045041A" w:rsidRPr="00F15BBD" w:rsidRDefault="005F563E" w:rsidP="00642C13">
      <w:pPr>
        <w:pStyle w:val="Ttulo5"/>
        <w:pBdr>
          <w:left w:val="single" w:sz="4" w:space="1" w:color="auto"/>
        </w:pBdr>
        <w:rPr>
          <w:lang w:val="es-CO"/>
        </w:rPr>
      </w:pPr>
      <w:r>
        <w:rPr>
          <w:lang w:val="es-CO"/>
        </w:rPr>
        <w:t>Índice</w:t>
      </w:r>
      <w:r w:rsidR="0045041A">
        <w:rPr>
          <w:lang w:val="es-CO"/>
        </w:rPr>
        <w:t xml:space="preserve"> de referencia o </w:t>
      </w:r>
      <w:r w:rsidR="0045041A">
        <w:rPr>
          <w:i/>
          <w:iCs/>
          <w:lang w:val="es-CO"/>
        </w:rPr>
        <w:t>benchmark</w:t>
      </w:r>
      <w:r w:rsidR="00A71EF1">
        <w:rPr>
          <w:i/>
          <w:iCs/>
          <w:lang w:val="es-CO"/>
        </w:rPr>
        <w:t xml:space="preserve">, </w:t>
      </w:r>
      <w:proofErr w:type="gramStart"/>
      <w:r w:rsidR="00A71EF1" w:rsidRPr="00F15BBD">
        <w:rPr>
          <w:lang w:val="es-CO"/>
        </w:rPr>
        <w:t>de acuerdo a</w:t>
      </w:r>
      <w:proofErr w:type="gramEnd"/>
      <w:r w:rsidR="00A71EF1" w:rsidRPr="00F15BBD">
        <w:rPr>
          <w:lang w:val="es-CO"/>
        </w:rPr>
        <w:t xml:space="preserve"> las instrucciones</w:t>
      </w:r>
      <w:r w:rsidR="00F15BBD" w:rsidRPr="00F15BBD">
        <w:rPr>
          <w:lang w:val="es-CO"/>
        </w:rPr>
        <w:t xml:space="preserve"> del numeral </w:t>
      </w:r>
      <w:r w:rsidR="00B931B9">
        <w:rPr>
          <w:lang w:val="es-CO"/>
        </w:rPr>
        <w:t xml:space="preserve">5.4.5.7. </w:t>
      </w:r>
      <w:r w:rsidR="00F93B2D">
        <w:rPr>
          <w:lang w:val="es-CO"/>
        </w:rPr>
        <w:t>del presente Capítulo.</w:t>
      </w:r>
    </w:p>
    <w:p w14:paraId="79BD7E6B" w14:textId="77777777" w:rsidR="00A71EF1" w:rsidRPr="00A71EF1" w:rsidRDefault="00A71EF1" w:rsidP="00A71EF1">
      <w:pPr>
        <w:rPr>
          <w:lang w:val="es-CO" w:eastAsia="es-ES"/>
        </w:rPr>
      </w:pPr>
    </w:p>
    <w:p w14:paraId="33C75F23" w14:textId="77777777" w:rsidR="00F15BBD" w:rsidRPr="00F15BBD" w:rsidRDefault="00347C23" w:rsidP="00F15BBD">
      <w:pPr>
        <w:pStyle w:val="Ttulo5"/>
        <w:pBdr>
          <w:left w:val="single" w:sz="4" w:space="1" w:color="auto"/>
        </w:pBdr>
        <w:rPr>
          <w:lang w:val="es-CO"/>
        </w:rPr>
      </w:pPr>
      <w:r w:rsidRPr="00DF7495">
        <w:rPr>
          <w:lang w:val="es-CO"/>
        </w:rPr>
        <w:t>Políticas para la recomposición y rebalanceo de los portafolios en atención al objeto de la alternativa estandarizada.</w:t>
      </w:r>
    </w:p>
    <w:p w14:paraId="02998933" w14:textId="77777777" w:rsidR="00347C23" w:rsidRPr="00DF7495" w:rsidRDefault="00347C23" w:rsidP="00642C13">
      <w:pPr>
        <w:pBdr>
          <w:left w:val="single" w:sz="4" w:space="1" w:color="auto"/>
        </w:pBdr>
        <w:rPr>
          <w:lang w:val="es-CO" w:eastAsia="es-ES"/>
        </w:rPr>
      </w:pPr>
    </w:p>
    <w:p w14:paraId="573127F1" w14:textId="0C0960AF" w:rsidR="00347C23" w:rsidRPr="00DF7495" w:rsidRDefault="00347C23" w:rsidP="00642C13">
      <w:pPr>
        <w:pBdr>
          <w:left w:val="single" w:sz="4" w:space="1" w:color="auto"/>
        </w:pBdr>
        <w:rPr>
          <w:lang w:val="es-CO" w:eastAsia="es-ES"/>
        </w:rPr>
      </w:pPr>
      <w:r w:rsidRPr="00DF7495">
        <w:rPr>
          <w:lang w:val="es-CO" w:eastAsia="es-ES"/>
        </w:rPr>
        <w:t xml:space="preserve">Dicho documento deberá ponerse a disposición de los partícipes que se vinculen a la respectiva alternativa estandarizada y deberá estar publicado en la página web de la sociedad administradora. Adicionalmente, la sociedad </w:t>
      </w:r>
      <w:r w:rsidR="003D0079" w:rsidRPr="00DF7495">
        <w:rPr>
          <w:lang w:val="es-CO" w:eastAsia="es-ES"/>
        </w:rPr>
        <w:t>administradora</w:t>
      </w:r>
      <w:r w:rsidRPr="00DF7495">
        <w:rPr>
          <w:lang w:val="es-CO" w:eastAsia="es-ES"/>
        </w:rPr>
        <w:t xml:space="preserve"> deberá suministrarle la ruta de la página web en donde se encuentran disponibles los prospectos y las fichas técnicas de cada uno de los portafolios que componen la alternativa estandarizada.</w:t>
      </w:r>
    </w:p>
    <w:p w14:paraId="13D62E29" w14:textId="77777777" w:rsidR="00347C23" w:rsidRPr="00DF7495" w:rsidRDefault="00347C23" w:rsidP="00642C13">
      <w:pPr>
        <w:pBdr>
          <w:left w:val="single" w:sz="4" w:space="1" w:color="auto"/>
        </w:pBdr>
        <w:rPr>
          <w:lang w:val="es-CO" w:eastAsia="es-ES"/>
        </w:rPr>
      </w:pPr>
    </w:p>
    <w:p w14:paraId="1AB58AB4" w14:textId="77777777" w:rsidR="00347C23" w:rsidRPr="00DF7495" w:rsidRDefault="00347C23" w:rsidP="00642C13">
      <w:pPr>
        <w:pStyle w:val="Ttulo3"/>
        <w:pBdr>
          <w:left w:val="single" w:sz="4" w:space="1" w:color="auto"/>
        </w:pBdr>
        <w:rPr>
          <w:lang w:val="es-CO"/>
        </w:rPr>
      </w:pPr>
      <w:r w:rsidRPr="00DF7495">
        <w:rPr>
          <w:lang w:val="es-CO"/>
        </w:rPr>
        <w:t xml:space="preserve">Alternativas flexibles y autogestionadas </w:t>
      </w:r>
    </w:p>
    <w:p w14:paraId="4196CA85" w14:textId="77777777" w:rsidR="00347C23" w:rsidRPr="00DF7495" w:rsidRDefault="00347C23" w:rsidP="007C1418">
      <w:pPr>
        <w:pBdr>
          <w:left w:val="single" w:sz="4" w:space="1" w:color="auto"/>
        </w:pBdr>
        <w:rPr>
          <w:lang w:val="es-CO" w:eastAsia="es-ES"/>
        </w:rPr>
      </w:pPr>
    </w:p>
    <w:p w14:paraId="689CDE42" w14:textId="0562229F" w:rsidR="00173F0A" w:rsidRDefault="00347C23" w:rsidP="007C1418">
      <w:pPr>
        <w:pBdr>
          <w:left w:val="single" w:sz="4" w:space="1" w:color="auto"/>
        </w:pBdr>
        <w:rPr>
          <w:lang w:val="es-CO" w:eastAsia="es-ES"/>
        </w:rPr>
      </w:pPr>
      <w:r w:rsidRPr="005A2776">
        <w:rPr>
          <w:lang w:val="es-CO" w:eastAsia="es-ES"/>
        </w:rPr>
        <w:t xml:space="preserve">Las sociedades administradoras que opten por ofrecer alternativas flexibles y/o autogestionadas deben </w:t>
      </w:r>
      <w:r w:rsidR="00173F0A">
        <w:rPr>
          <w:lang w:val="es-CO" w:eastAsia="es-ES"/>
        </w:rPr>
        <w:t>suminist</w:t>
      </w:r>
      <w:r w:rsidR="00CC1650">
        <w:rPr>
          <w:lang w:val="es-CO" w:eastAsia="es-ES"/>
        </w:rPr>
        <w:t xml:space="preserve">rar a los partícipes </w:t>
      </w:r>
      <w:r w:rsidR="00CC1650" w:rsidRPr="00DF7495">
        <w:rPr>
          <w:lang w:val="es-CO" w:eastAsia="es-ES"/>
        </w:rPr>
        <w:t xml:space="preserve">la ruta de la página web en donde se encuentran disponibles los prospectos y las fichas técnicas de cada uno de los portafolios que componen la alternativa </w:t>
      </w:r>
      <w:r w:rsidR="00CC1650">
        <w:rPr>
          <w:lang w:val="es-CO" w:eastAsia="es-ES"/>
        </w:rPr>
        <w:t>seleccionada.</w:t>
      </w:r>
    </w:p>
    <w:p w14:paraId="20D6DDB8" w14:textId="6E0498E8" w:rsidR="00CC1650" w:rsidRDefault="00CC1650" w:rsidP="007C1418">
      <w:pPr>
        <w:pBdr>
          <w:left w:val="single" w:sz="4" w:space="1" w:color="auto"/>
        </w:pBdr>
        <w:rPr>
          <w:lang w:val="es-CO" w:eastAsia="es-ES"/>
        </w:rPr>
      </w:pPr>
    </w:p>
    <w:p w14:paraId="39636457" w14:textId="1D179DAB" w:rsidR="00CC4433" w:rsidRDefault="00CC1650" w:rsidP="007C1418">
      <w:pPr>
        <w:pBdr>
          <w:left w:val="single" w:sz="4" w:space="1" w:color="auto"/>
        </w:pBdr>
        <w:rPr>
          <w:lang w:val="es-CO" w:eastAsia="es-ES"/>
        </w:rPr>
      </w:pPr>
      <w:r>
        <w:rPr>
          <w:lang w:val="es-CO" w:eastAsia="es-ES"/>
        </w:rPr>
        <w:t xml:space="preserve">Adicionalmente, las sociedades administradoras deben </w:t>
      </w:r>
      <w:r w:rsidR="00CA0FA6">
        <w:rPr>
          <w:lang w:val="es-CO" w:eastAsia="es-ES"/>
        </w:rPr>
        <w:t xml:space="preserve">remitir un documento a los partícipes en el </w:t>
      </w:r>
      <w:r w:rsidR="00674E61">
        <w:rPr>
          <w:lang w:val="es-CO" w:eastAsia="es-ES"/>
        </w:rPr>
        <w:t xml:space="preserve">que </w:t>
      </w:r>
      <w:r w:rsidR="00CA0FA6">
        <w:rPr>
          <w:lang w:val="es-CO" w:eastAsia="es-ES"/>
        </w:rPr>
        <w:t>se les informe las condiciones de su inversión a través de las alternativas</w:t>
      </w:r>
      <w:r w:rsidR="00504605">
        <w:rPr>
          <w:lang w:val="es-CO" w:eastAsia="es-ES"/>
        </w:rPr>
        <w:t xml:space="preserve"> seleccionadas</w:t>
      </w:r>
      <w:r w:rsidR="00CA0FA6">
        <w:rPr>
          <w:lang w:val="es-CO" w:eastAsia="es-ES"/>
        </w:rPr>
        <w:t xml:space="preserve">. </w:t>
      </w:r>
      <w:r w:rsidR="00CC4433">
        <w:rPr>
          <w:lang w:val="es-CO" w:eastAsia="es-ES"/>
        </w:rPr>
        <w:t>Dicho documento también deberá contener una r</w:t>
      </w:r>
      <w:r w:rsidR="00CC4433" w:rsidRPr="00CC4433">
        <w:rPr>
          <w:lang w:val="es-CO" w:eastAsia="es-ES"/>
        </w:rPr>
        <w:t xml:space="preserve">elación pormenorizada de las comisiones fijas y variables que se cobraran para </w:t>
      </w:r>
      <w:r w:rsidR="00CC4433">
        <w:rPr>
          <w:lang w:val="es-CO" w:eastAsia="es-ES"/>
        </w:rPr>
        <w:t>alternativa seleccionada</w:t>
      </w:r>
      <w:r w:rsidR="00E068AA">
        <w:rPr>
          <w:lang w:val="es-CO" w:eastAsia="es-ES"/>
        </w:rPr>
        <w:t>. Para ello</w:t>
      </w:r>
      <w:r w:rsidR="00E068AA" w:rsidRPr="00DF7495">
        <w:rPr>
          <w:lang w:val="es-CO"/>
        </w:rPr>
        <w:t>, se indicará si el cobro de las comisiones se va a realizar de manera agregada por los portafolios que componen la alternativa</w:t>
      </w:r>
      <w:r w:rsidR="00E068AA">
        <w:rPr>
          <w:lang w:val="es-CO"/>
        </w:rPr>
        <w:t xml:space="preserve"> y/o por la alternativa seleccionada</w:t>
      </w:r>
      <w:r w:rsidR="00E068AA" w:rsidRPr="00DF7495">
        <w:rPr>
          <w:lang w:val="es-CO"/>
        </w:rPr>
        <w:t>, según lo establecido en el reglamento</w:t>
      </w:r>
      <w:r w:rsidR="00504605">
        <w:rPr>
          <w:lang w:val="es-CO"/>
        </w:rPr>
        <w:t>.</w:t>
      </w:r>
    </w:p>
    <w:p w14:paraId="4DED3E96" w14:textId="77777777" w:rsidR="002725FE" w:rsidRPr="00DF7495" w:rsidRDefault="002725FE" w:rsidP="007C1418">
      <w:pPr>
        <w:pBdr>
          <w:left w:val="single" w:sz="4" w:space="1" w:color="auto"/>
        </w:pBdr>
        <w:rPr>
          <w:strike/>
          <w:lang w:val="es-CO" w:eastAsia="es-ES"/>
        </w:rPr>
      </w:pPr>
    </w:p>
    <w:p w14:paraId="2C96DB12" w14:textId="05135D5A" w:rsidR="0027292A" w:rsidRPr="00DF7495" w:rsidRDefault="004D31F0" w:rsidP="007C1418">
      <w:pPr>
        <w:pStyle w:val="Ttulo2"/>
        <w:pBdr>
          <w:left w:val="single" w:sz="4" w:space="1" w:color="auto"/>
        </w:pBdr>
        <w:rPr>
          <w:lang w:val="es-CO"/>
        </w:rPr>
      </w:pPr>
      <w:r w:rsidRPr="00DF7495">
        <w:rPr>
          <w:lang w:val="es-CO"/>
        </w:rPr>
        <w:t>Prospecto de portafolio</w:t>
      </w:r>
    </w:p>
    <w:p w14:paraId="3E292DD3" w14:textId="77777777" w:rsidR="00767E19" w:rsidRPr="00DF7495" w:rsidRDefault="00767E19" w:rsidP="007C1418">
      <w:pPr>
        <w:pBdr>
          <w:left w:val="single" w:sz="4" w:space="1" w:color="auto"/>
        </w:pBdr>
        <w:rPr>
          <w:lang w:val="es-CO"/>
        </w:rPr>
      </w:pPr>
    </w:p>
    <w:p w14:paraId="0EC2576E" w14:textId="290F632A" w:rsidR="00883DC3" w:rsidRPr="00DF7495" w:rsidRDefault="00883DC3" w:rsidP="007C1418">
      <w:pPr>
        <w:pBdr>
          <w:left w:val="single" w:sz="4" w:space="1" w:color="auto"/>
        </w:pBdr>
        <w:rPr>
          <w:lang w:val="es-CO"/>
        </w:rPr>
      </w:pPr>
      <w:r w:rsidRPr="00DF7495">
        <w:rPr>
          <w:lang w:val="es-CO"/>
        </w:rPr>
        <w:t xml:space="preserve">De manera previa a su ofrecimiento, las sociedades administradoras deben registrar </w:t>
      </w:r>
      <w:r w:rsidR="00A20769">
        <w:rPr>
          <w:lang w:val="es-CO"/>
        </w:rPr>
        <w:t xml:space="preserve">los nuevos portafolios </w:t>
      </w:r>
      <w:r w:rsidRPr="00DF7495">
        <w:rPr>
          <w:lang w:val="es-CO"/>
        </w:rPr>
        <w:t>en el módulo de registro de</w:t>
      </w:r>
      <w:r w:rsidR="00063753">
        <w:rPr>
          <w:lang w:val="es-CO"/>
        </w:rPr>
        <w:t xml:space="preserve"> negocios</w:t>
      </w:r>
      <w:r w:rsidRPr="00DF7495">
        <w:rPr>
          <w:lang w:val="es-CO"/>
        </w:rPr>
        <w:t xml:space="preserve">, en los términos del Capítulo VI Título IV de la Parte I de la Circular Básica Jurídica. </w:t>
      </w:r>
      <w:proofErr w:type="gramStart"/>
      <w:r w:rsidR="00063753">
        <w:rPr>
          <w:lang w:val="es-CO"/>
        </w:rPr>
        <w:t>Asimismo</w:t>
      </w:r>
      <w:proofErr w:type="gramEnd"/>
      <w:r w:rsidR="00AE4B91">
        <w:rPr>
          <w:lang w:val="es-CO"/>
        </w:rPr>
        <w:t xml:space="preserve"> la </w:t>
      </w:r>
      <w:r w:rsidR="00063753">
        <w:rPr>
          <w:lang w:val="es-CO"/>
        </w:rPr>
        <w:t xml:space="preserve">información contenida en el </w:t>
      </w:r>
      <w:r w:rsidR="00DD250A">
        <w:rPr>
          <w:lang w:val="es-CO"/>
        </w:rPr>
        <w:t>módulo</w:t>
      </w:r>
      <w:r w:rsidR="00063753">
        <w:rPr>
          <w:lang w:val="es-CO"/>
        </w:rPr>
        <w:t xml:space="preserve"> de registro de negocios debe ser actualizada</w:t>
      </w:r>
      <w:r w:rsidR="00AE4B91">
        <w:rPr>
          <w:lang w:val="es-CO"/>
        </w:rPr>
        <w:t xml:space="preserve"> en el caso que se modifiquen los prospectos de un portafolio existente.</w:t>
      </w:r>
    </w:p>
    <w:p w14:paraId="43CDC96B" w14:textId="77777777" w:rsidR="00883DC3" w:rsidRPr="00DF7495" w:rsidRDefault="00883DC3" w:rsidP="007C1418">
      <w:pPr>
        <w:pBdr>
          <w:left w:val="single" w:sz="4" w:space="1" w:color="auto"/>
        </w:pBdr>
        <w:rPr>
          <w:lang w:val="es-CO"/>
        </w:rPr>
      </w:pPr>
    </w:p>
    <w:p w14:paraId="6DCF3A97" w14:textId="5A82DC74" w:rsidR="003C0748" w:rsidRPr="00DF7495" w:rsidRDefault="00E2460F" w:rsidP="007C1418">
      <w:pPr>
        <w:pBdr>
          <w:left w:val="single" w:sz="4" w:space="1" w:color="auto"/>
        </w:pBdr>
        <w:rPr>
          <w:lang w:val="es-CO"/>
        </w:rPr>
      </w:pPr>
      <w:r w:rsidRPr="00DF7495">
        <w:rPr>
          <w:lang w:val="es-CO"/>
        </w:rPr>
        <w:t xml:space="preserve">Los prospectos de </w:t>
      </w:r>
      <w:r w:rsidR="007B60B5" w:rsidRPr="00DF7495">
        <w:rPr>
          <w:lang w:val="es-CO"/>
        </w:rPr>
        <w:t>portafolios</w:t>
      </w:r>
      <w:r w:rsidRPr="00DF7495">
        <w:rPr>
          <w:lang w:val="es-CO"/>
        </w:rPr>
        <w:t xml:space="preserve"> deben contener</w:t>
      </w:r>
      <w:r w:rsidR="00646338" w:rsidRPr="00DF7495">
        <w:rPr>
          <w:lang w:val="es-CO"/>
        </w:rPr>
        <w:t xml:space="preserve">, </w:t>
      </w:r>
      <w:r w:rsidRPr="00DF7495">
        <w:rPr>
          <w:lang w:val="es-CO"/>
        </w:rPr>
        <w:t>como mínimo</w:t>
      </w:r>
      <w:r w:rsidR="00646338" w:rsidRPr="00DF7495">
        <w:rPr>
          <w:lang w:val="es-CO"/>
        </w:rPr>
        <w:t>,</w:t>
      </w:r>
      <w:r w:rsidRPr="00DF7495">
        <w:rPr>
          <w:lang w:val="es-CO"/>
        </w:rPr>
        <w:t xml:space="preserve"> la información que se relaciona </w:t>
      </w:r>
      <w:r w:rsidR="007B60B5" w:rsidRPr="00DF7495">
        <w:rPr>
          <w:lang w:val="es-CO"/>
        </w:rPr>
        <w:t>a continuación</w:t>
      </w:r>
      <w:r w:rsidR="00E8546D" w:rsidRPr="00DF7495">
        <w:rPr>
          <w:lang w:val="es-CO"/>
        </w:rPr>
        <w:t xml:space="preserve">, </w:t>
      </w:r>
      <w:r w:rsidRPr="00DF7495">
        <w:rPr>
          <w:lang w:val="es-CO"/>
        </w:rPr>
        <w:t>sin perjuicio de que la sociedad administradora pueda incluir cláusulas adicionales</w:t>
      </w:r>
      <w:r w:rsidR="00CC01BB" w:rsidRPr="00DF7495">
        <w:rPr>
          <w:lang w:val="es-CO"/>
        </w:rPr>
        <w:t>:</w:t>
      </w:r>
    </w:p>
    <w:p w14:paraId="2BBE1B3E" w14:textId="77777777" w:rsidR="008C729D" w:rsidRPr="00DF7495" w:rsidRDefault="008C729D" w:rsidP="00642C13">
      <w:pPr>
        <w:pBdr>
          <w:left w:val="single" w:sz="4" w:space="1" w:color="auto"/>
        </w:pBdr>
        <w:rPr>
          <w:lang w:val="es-CO" w:eastAsia="es-ES"/>
        </w:rPr>
      </w:pPr>
    </w:p>
    <w:p w14:paraId="4F573DC1" w14:textId="1AF4F3AF" w:rsidR="000E7359" w:rsidRPr="00DF7495" w:rsidRDefault="000E7359" w:rsidP="00642C13">
      <w:pPr>
        <w:pStyle w:val="Ttulo3"/>
        <w:pBdr>
          <w:left w:val="single" w:sz="4" w:space="1" w:color="auto"/>
        </w:pBdr>
        <w:rPr>
          <w:lang w:val="es-CO"/>
        </w:rPr>
      </w:pPr>
      <w:r w:rsidRPr="00DF7495">
        <w:rPr>
          <w:lang w:val="es-CO"/>
        </w:rPr>
        <w:t>Información general del portafolio</w:t>
      </w:r>
      <w:r w:rsidR="009259CE" w:rsidRPr="00DF7495">
        <w:rPr>
          <w:lang w:val="es-CO"/>
        </w:rPr>
        <w:t xml:space="preserve"> relacionada a continuación:</w:t>
      </w:r>
    </w:p>
    <w:p w14:paraId="76F5C1B2" w14:textId="4A7A1F68" w:rsidR="002546FA" w:rsidRPr="00DF7495" w:rsidRDefault="00626538" w:rsidP="00642C13">
      <w:pPr>
        <w:pStyle w:val="Ttulo4"/>
        <w:pBdr>
          <w:left w:val="single" w:sz="4" w:space="1" w:color="auto"/>
        </w:pBdr>
        <w:ind w:left="0"/>
        <w:rPr>
          <w:lang w:val="es-CO"/>
        </w:rPr>
      </w:pPr>
      <w:r w:rsidRPr="00DF7495">
        <w:rPr>
          <w:lang w:val="es-CO"/>
        </w:rPr>
        <w:t xml:space="preserve">Identificación del </w:t>
      </w:r>
      <w:r w:rsidR="00CB3F33" w:rsidRPr="00DF7495">
        <w:rPr>
          <w:lang w:val="es-CO"/>
        </w:rPr>
        <w:t>portafolio.</w:t>
      </w:r>
    </w:p>
    <w:p w14:paraId="2C97FD9D" w14:textId="30E70BB5" w:rsidR="00A5058A" w:rsidRPr="00DF7495" w:rsidRDefault="00CB3F33" w:rsidP="00642C13">
      <w:pPr>
        <w:pStyle w:val="Ttulo4"/>
        <w:pBdr>
          <w:left w:val="single" w:sz="4" w:space="1" w:color="auto"/>
        </w:pBdr>
        <w:ind w:left="0"/>
        <w:rPr>
          <w:lang w:val="es-CO"/>
        </w:rPr>
      </w:pPr>
      <w:r w:rsidRPr="00DF7495">
        <w:rPr>
          <w:lang w:val="es-CO"/>
        </w:rPr>
        <w:t>Identificación de la sociedad administradora.</w:t>
      </w:r>
    </w:p>
    <w:p w14:paraId="5DE93BC9" w14:textId="77777777" w:rsidR="00A5058A" w:rsidRPr="00DF7495" w:rsidRDefault="00A5058A" w:rsidP="00642C13">
      <w:pPr>
        <w:pStyle w:val="Ttulo4"/>
        <w:pBdr>
          <w:left w:val="single" w:sz="4" w:space="1" w:color="auto"/>
        </w:pBdr>
        <w:ind w:left="0"/>
        <w:rPr>
          <w:lang w:val="es-CO"/>
        </w:rPr>
      </w:pPr>
      <w:r w:rsidRPr="00DF7495">
        <w:rPr>
          <w:lang w:val="es-CO"/>
        </w:rPr>
        <w:t>Vigencia del portafolio.</w:t>
      </w:r>
    </w:p>
    <w:p w14:paraId="46485EE7" w14:textId="77777777" w:rsidR="00026602" w:rsidRPr="00DF7495" w:rsidRDefault="00026602" w:rsidP="00642C13">
      <w:pPr>
        <w:pBdr>
          <w:left w:val="single" w:sz="4" w:space="1" w:color="auto"/>
        </w:pBdr>
        <w:rPr>
          <w:lang w:val="es-CO" w:eastAsia="es-ES"/>
        </w:rPr>
      </w:pPr>
    </w:p>
    <w:p w14:paraId="44CFF832" w14:textId="567267C9" w:rsidR="002840C0" w:rsidRPr="00DF7495" w:rsidRDefault="00937D06" w:rsidP="00642C13">
      <w:pPr>
        <w:pStyle w:val="Ttulo3"/>
        <w:pBdr>
          <w:left w:val="single" w:sz="4" w:space="1" w:color="auto"/>
        </w:pBdr>
        <w:rPr>
          <w:lang w:val="es-CO"/>
        </w:rPr>
      </w:pPr>
      <w:r w:rsidRPr="00DF7495">
        <w:rPr>
          <w:lang w:val="es-CO"/>
        </w:rPr>
        <w:t>Identificación</w:t>
      </w:r>
      <w:r w:rsidR="008E0573" w:rsidRPr="00DF7495">
        <w:rPr>
          <w:lang w:val="es-CO"/>
        </w:rPr>
        <w:t xml:space="preserve"> del custodio de valores</w:t>
      </w:r>
    </w:p>
    <w:p w14:paraId="28C73337" w14:textId="77777777" w:rsidR="005E7350" w:rsidRPr="00DF7495" w:rsidRDefault="005E7350" w:rsidP="00642C13">
      <w:pPr>
        <w:pBdr>
          <w:left w:val="single" w:sz="4" w:space="1" w:color="auto"/>
        </w:pBdr>
        <w:rPr>
          <w:lang w:val="es-CO" w:eastAsia="es-ES"/>
        </w:rPr>
      </w:pPr>
    </w:p>
    <w:p w14:paraId="387D8DD4" w14:textId="5751452A" w:rsidR="00B6466E" w:rsidRPr="00DF7495" w:rsidRDefault="007F0105" w:rsidP="00642C13">
      <w:pPr>
        <w:pStyle w:val="Ttulo3"/>
        <w:pBdr>
          <w:left w:val="single" w:sz="4" w:space="1" w:color="auto"/>
        </w:pBdr>
        <w:rPr>
          <w:lang w:val="es-CO"/>
        </w:rPr>
      </w:pPr>
      <w:r w:rsidRPr="00DF7495">
        <w:rPr>
          <w:lang w:val="es-CO"/>
        </w:rPr>
        <w:t>Descripción general de las opciones de planes a</w:t>
      </w:r>
      <w:r w:rsidR="001C33AA" w:rsidRPr="00DF7495">
        <w:rPr>
          <w:lang w:val="es-CO"/>
        </w:rPr>
        <w:t xml:space="preserve"> </w:t>
      </w:r>
      <w:r w:rsidRPr="00DF7495">
        <w:rPr>
          <w:lang w:val="es-CO"/>
        </w:rPr>
        <w:t>l</w:t>
      </w:r>
      <w:r w:rsidR="0066660F" w:rsidRPr="00DF7495">
        <w:rPr>
          <w:lang w:val="es-CO"/>
        </w:rPr>
        <w:t>as</w:t>
      </w:r>
      <w:r w:rsidRPr="00DF7495">
        <w:rPr>
          <w:lang w:val="es-CO"/>
        </w:rPr>
        <w:t xml:space="preserve"> que puede</w:t>
      </w:r>
      <w:r w:rsidR="00123CB3" w:rsidRPr="00DF7495">
        <w:rPr>
          <w:lang w:val="es-CO"/>
        </w:rPr>
        <w:t>n</w:t>
      </w:r>
      <w:r w:rsidRPr="00DF7495">
        <w:rPr>
          <w:lang w:val="es-CO"/>
        </w:rPr>
        <w:t xml:space="preserve"> acceder, según el tipo de portafolio.</w:t>
      </w:r>
    </w:p>
    <w:p w14:paraId="4CE6E0E5" w14:textId="504E9645" w:rsidR="007F0105" w:rsidRPr="00DF7495" w:rsidRDefault="007F0105" w:rsidP="00642C13">
      <w:pPr>
        <w:pBdr>
          <w:left w:val="single" w:sz="4" w:space="1" w:color="auto"/>
        </w:pBdr>
        <w:rPr>
          <w:lang w:val="es-CO" w:eastAsia="es-ES"/>
        </w:rPr>
      </w:pPr>
    </w:p>
    <w:p w14:paraId="71E7B02D" w14:textId="126B45B9" w:rsidR="007F0105" w:rsidRPr="00DF7495" w:rsidRDefault="00261A1D" w:rsidP="00642C13">
      <w:pPr>
        <w:pStyle w:val="Ttulo3"/>
        <w:pBdr>
          <w:left w:val="single" w:sz="4" w:space="1" w:color="auto"/>
        </w:pBdr>
        <w:rPr>
          <w:lang w:val="es-CO"/>
        </w:rPr>
      </w:pPr>
      <w:r w:rsidRPr="00DF7495">
        <w:rPr>
          <w:lang w:val="es-CO"/>
        </w:rPr>
        <w:t xml:space="preserve">Descripción general de las alternativas de </w:t>
      </w:r>
      <w:r w:rsidR="00B34EE7" w:rsidRPr="00DF7495">
        <w:rPr>
          <w:lang w:val="es-CO"/>
        </w:rPr>
        <w:t>inversión a las que pertenece el respectivo portafolio.</w:t>
      </w:r>
    </w:p>
    <w:p w14:paraId="4CF07A52" w14:textId="77777777" w:rsidR="00F71BB0" w:rsidRPr="00DF7495" w:rsidRDefault="00F71BB0" w:rsidP="00642C13">
      <w:pPr>
        <w:pBdr>
          <w:left w:val="single" w:sz="4" w:space="1" w:color="auto"/>
        </w:pBdr>
        <w:rPr>
          <w:lang w:val="es-CO"/>
        </w:rPr>
      </w:pPr>
    </w:p>
    <w:p w14:paraId="05E0959F" w14:textId="4F5CF68E" w:rsidR="008C07E0" w:rsidRPr="00DF7495" w:rsidRDefault="00FE7935" w:rsidP="00642C13">
      <w:pPr>
        <w:pStyle w:val="Ttulo3"/>
        <w:pBdr>
          <w:left w:val="single" w:sz="4" w:space="1" w:color="auto"/>
        </w:pBdr>
        <w:rPr>
          <w:lang w:val="es-CO"/>
        </w:rPr>
      </w:pPr>
      <w:r w:rsidRPr="00DF7495">
        <w:rPr>
          <w:lang w:val="es-CO"/>
        </w:rPr>
        <w:t>Contenido mínimo de la política</w:t>
      </w:r>
      <w:r w:rsidR="00C77C71" w:rsidRPr="00DF7495">
        <w:rPr>
          <w:lang w:val="es-CO"/>
        </w:rPr>
        <w:t xml:space="preserve"> de inversión del portafolio</w:t>
      </w:r>
      <w:r w:rsidR="0031146F" w:rsidRPr="00DF7495">
        <w:rPr>
          <w:lang w:val="es-CO"/>
        </w:rPr>
        <w:t>.</w:t>
      </w:r>
    </w:p>
    <w:p w14:paraId="785C4D9B" w14:textId="77777777" w:rsidR="008C07E0" w:rsidRPr="00DF7495" w:rsidRDefault="008C07E0" w:rsidP="00642C13">
      <w:pPr>
        <w:pStyle w:val="Ttulo3"/>
        <w:numPr>
          <w:ilvl w:val="0"/>
          <w:numId w:val="0"/>
        </w:numPr>
        <w:pBdr>
          <w:left w:val="single" w:sz="4" w:space="1" w:color="auto"/>
        </w:pBdr>
        <w:rPr>
          <w:lang w:val="es-CO"/>
        </w:rPr>
      </w:pPr>
    </w:p>
    <w:p w14:paraId="76C14270" w14:textId="7DE22C50" w:rsidR="00A01615" w:rsidRPr="00DF7495" w:rsidRDefault="003168C0" w:rsidP="00642C13">
      <w:pPr>
        <w:pStyle w:val="Ttulo3"/>
        <w:numPr>
          <w:ilvl w:val="0"/>
          <w:numId w:val="0"/>
        </w:numPr>
        <w:pBdr>
          <w:left w:val="single" w:sz="4" w:space="1" w:color="auto"/>
        </w:pBdr>
        <w:rPr>
          <w:lang w:val="es-CO"/>
        </w:rPr>
      </w:pPr>
      <w:r w:rsidRPr="00DF7495">
        <w:rPr>
          <w:lang w:val="es-CO"/>
        </w:rPr>
        <w:t xml:space="preserve">En el prospecto no se deben volver a incorporar las políticas generales establecidas en el reglamento, sino un desarrollo individualizado de las políticas para cada uno de los portafolios que componen un FVP. </w:t>
      </w:r>
      <w:r w:rsidR="0031146F" w:rsidRPr="00DF7495">
        <w:rPr>
          <w:lang w:val="es-CO"/>
        </w:rPr>
        <w:t>L</w:t>
      </w:r>
      <w:r w:rsidR="00FE7935" w:rsidRPr="00DF7495">
        <w:rPr>
          <w:lang w:val="es-CO"/>
        </w:rPr>
        <w:t>a p</w:t>
      </w:r>
      <w:r w:rsidR="00C77C71" w:rsidRPr="00DF7495">
        <w:rPr>
          <w:lang w:val="es-CO"/>
        </w:rPr>
        <w:t>olítica de inversión de</w:t>
      </w:r>
      <w:r w:rsidR="006D7CB5" w:rsidRPr="00DF7495">
        <w:rPr>
          <w:lang w:val="es-CO"/>
        </w:rPr>
        <w:t xml:space="preserve"> </w:t>
      </w:r>
      <w:r w:rsidR="00506557" w:rsidRPr="00DF7495">
        <w:rPr>
          <w:lang w:val="es-CO"/>
        </w:rPr>
        <w:t>portafolio</w:t>
      </w:r>
      <w:r w:rsidR="00444F36" w:rsidRPr="00DF7495">
        <w:rPr>
          <w:lang w:val="es-CO"/>
        </w:rPr>
        <w:t xml:space="preserve"> </w:t>
      </w:r>
      <w:r w:rsidR="00FE7935" w:rsidRPr="00DF7495">
        <w:rPr>
          <w:lang w:val="es-CO"/>
        </w:rPr>
        <w:t>debe contemplar,</w:t>
      </w:r>
      <w:r w:rsidR="00444F36" w:rsidRPr="00DF7495">
        <w:rPr>
          <w:lang w:val="es-CO"/>
        </w:rPr>
        <w:t xml:space="preserve"> como mínimo</w:t>
      </w:r>
      <w:r w:rsidR="00FE7935" w:rsidRPr="00DF7495">
        <w:rPr>
          <w:lang w:val="es-CO"/>
        </w:rPr>
        <w:t>,</w:t>
      </w:r>
      <w:r w:rsidR="00444F36" w:rsidRPr="00DF7495">
        <w:rPr>
          <w:lang w:val="es-CO"/>
        </w:rPr>
        <w:t xml:space="preserve"> los</w:t>
      </w:r>
      <w:r w:rsidR="00A30CD1" w:rsidRPr="00DF7495">
        <w:rPr>
          <w:lang w:val="es-CO"/>
        </w:rPr>
        <w:t xml:space="preserve"> </w:t>
      </w:r>
      <w:r w:rsidR="004E2A37" w:rsidRPr="00DF7495">
        <w:rPr>
          <w:lang w:val="es-CO"/>
        </w:rPr>
        <w:t>aspectos</w:t>
      </w:r>
      <w:r w:rsidR="00A30CD1" w:rsidRPr="00DF7495">
        <w:rPr>
          <w:lang w:val="es-CO"/>
        </w:rPr>
        <w:t xml:space="preserve"> relacionados en el </w:t>
      </w:r>
      <w:r w:rsidR="00805EC3" w:rsidRPr="00DF7495">
        <w:rPr>
          <w:lang w:val="es-CO"/>
        </w:rPr>
        <w:t>artículo</w:t>
      </w:r>
      <w:r w:rsidR="00A30CD1" w:rsidRPr="00DF7495">
        <w:rPr>
          <w:lang w:val="es-CO"/>
        </w:rPr>
        <w:t xml:space="preserve"> 3.1.1.4.2 del Decreto 2555 de 2010</w:t>
      </w:r>
      <w:r w:rsidR="000E089B" w:rsidRPr="00DF7495">
        <w:rPr>
          <w:lang w:val="es-CO"/>
        </w:rPr>
        <w:t xml:space="preserve"> y </w:t>
      </w:r>
      <w:r w:rsidR="00290C2D" w:rsidRPr="00DF7495">
        <w:rPr>
          <w:lang w:val="es-CO"/>
        </w:rPr>
        <w:t>a</w:t>
      </w:r>
      <w:r w:rsidR="00505139" w:rsidRPr="00DF7495">
        <w:rPr>
          <w:lang w:val="es-CO"/>
        </w:rPr>
        <w:t>quellos</w:t>
      </w:r>
      <w:r w:rsidR="00290C2D" w:rsidRPr="00DF7495">
        <w:rPr>
          <w:lang w:val="es-CO"/>
        </w:rPr>
        <w:t xml:space="preserve"> </w:t>
      </w:r>
      <w:r w:rsidR="003C3E6F" w:rsidRPr="00DF7495">
        <w:rPr>
          <w:lang w:val="es-CO"/>
        </w:rPr>
        <w:t xml:space="preserve">establecidos a </w:t>
      </w:r>
      <w:r w:rsidR="00290C2D" w:rsidRPr="00DF7495">
        <w:rPr>
          <w:lang w:val="es-CO"/>
        </w:rPr>
        <w:t>continuación</w:t>
      </w:r>
      <w:r w:rsidRPr="00DF7495">
        <w:rPr>
          <w:lang w:val="es-CO"/>
        </w:rPr>
        <w:t>:</w:t>
      </w:r>
      <w:r w:rsidR="00F72042" w:rsidRPr="00DF7495">
        <w:rPr>
          <w:lang w:val="es-CO"/>
        </w:rPr>
        <w:t xml:space="preserve"> </w:t>
      </w:r>
    </w:p>
    <w:p w14:paraId="7C5CED16" w14:textId="77777777" w:rsidR="00106D76" w:rsidRPr="00DF7495" w:rsidRDefault="00106D76" w:rsidP="00642C13">
      <w:pPr>
        <w:pBdr>
          <w:left w:val="single" w:sz="4" w:space="1" w:color="auto"/>
        </w:pBdr>
        <w:rPr>
          <w:lang w:val="es-CO" w:eastAsia="es-ES"/>
        </w:rPr>
      </w:pPr>
    </w:p>
    <w:p w14:paraId="0D9F8521" w14:textId="31A278AD" w:rsidR="00FB18C9" w:rsidRPr="00DF7495" w:rsidRDefault="003F15BD" w:rsidP="00642C13">
      <w:pPr>
        <w:pStyle w:val="Ttulo4"/>
        <w:pBdr>
          <w:left w:val="single" w:sz="4" w:space="1" w:color="auto"/>
        </w:pBdr>
        <w:ind w:left="0"/>
        <w:rPr>
          <w:lang w:val="es-CO"/>
        </w:rPr>
      </w:pPr>
      <w:r w:rsidRPr="00DF7495">
        <w:rPr>
          <w:lang w:val="es-CO"/>
        </w:rPr>
        <w:t>Relacionar</w:t>
      </w:r>
      <w:r w:rsidR="00324EB5" w:rsidRPr="00DF7495">
        <w:rPr>
          <w:lang w:val="es-CO"/>
        </w:rPr>
        <w:t xml:space="preserve"> cómo la integración de riesgos ambientales, sociales y de gobierno corporativo (ASG)</w:t>
      </w:r>
      <w:r w:rsidR="00644B55" w:rsidRPr="00DF7495">
        <w:rPr>
          <w:lang w:val="es-CO"/>
        </w:rPr>
        <w:t>,</w:t>
      </w:r>
      <w:r w:rsidR="00324EB5" w:rsidRPr="00DF7495">
        <w:rPr>
          <w:lang w:val="es-CO"/>
        </w:rPr>
        <w:t xml:space="preserve"> y climáticos, independientemente de la estrategia utilizada, responde</w:t>
      </w:r>
      <w:r w:rsidR="00981E52" w:rsidRPr="00DF7495">
        <w:rPr>
          <w:lang w:val="es-CO"/>
        </w:rPr>
        <w:t>n</w:t>
      </w:r>
      <w:r w:rsidR="00324EB5" w:rsidRPr="00DF7495">
        <w:rPr>
          <w:lang w:val="es-CO"/>
        </w:rPr>
        <w:t xml:space="preserve"> a los objetivos del portafolio. </w:t>
      </w:r>
      <w:r w:rsidR="000E346C" w:rsidRPr="00DF7495">
        <w:rPr>
          <w:lang w:val="es-CO"/>
        </w:rPr>
        <w:t xml:space="preserve">Se entiende por integración de riesgos </w:t>
      </w:r>
      <w:r w:rsidR="00BD2B6D" w:rsidRPr="00DF7495">
        <w:rPr>
          <w:lang w:val="es-CO"/>
        </w:rPr>
        <w:t xml:space="preserve">ASG </w:t>
      </w:r>
      <w:r w:rsidR="00B7274C" w:rsidRPr="00DF7495">
        <w:rPr>
          <w:lang w:val="es-CO"/>
        </w:rPr>
        <w:t>y clim</w:t>
      </w:r>
      <w:r w:rsidR="00497DBF" w:rsidRPr="00DF7495">
        <w:rPr>
          <w:lang w:val="es-CO"/>
        </w:rPr>
        <w:t>áticos</w:t>
      </w:r>
      <w:r w:rsidR="0088610B" w:rsidRPr="00DF7495">
        <w:rPr>
          <w:lang w:val="es-CO"/>
        </w:rPr>
        <w:t>,</w:t>
      </w:r>
      <w:r w:rsidR="00497DBF" w:rsidRPr="00DF7495">
        <w:rPr>
          <w:lang w:val="es-CO"/>
        </w:rPr>
        <w:t xml:space="preserve"> la </w:t>
      </w:r>
      <w:r w:rsidR="00B504D8" w:rsidRPr="00DF7495">
        <w:rPr>
          <w:lang w:val="es-CO"/>
        </w:rPr>
        <w:t xml:space="preserve">incorporación de </w:t>
      </w:r>
      <w:r w:rsidR="00AB21D6" w:rsidRPr="00DF7495">
        <w:rPr>
          <w:lang w:val="es-CO"/>
        </w:rPr>
        <w:t>información sobre los asuntos ASG en su gestión de riesgos</w:t>
      </w:r>
      <w:r w:rsidR="000E346C" w:rsidRPr="00DF7495">
        <w:rPr>
          <w:lang w:val="es-CO"/>
        </w:rPr>
        <w:t xml:space="preserve"> </w:t>
      </w:r>
      <w:r w:rsidR="00323714" w:rsidRPr="00DF7495">
        <w:rPr>
          <w:lang w:val="es-CO"/>
        </w:rPr>
        <w:t>de acuerdo con el</w:t>
      </w:r>
      <w:r w:rsidR="00AB21D6" w:rsidRPr="00DF7495">
        <w:rPr>
          <w:lang w:val="es-CO"/>
        </w:rPr>
        <w:t xml:space="preserve"> perfil de riesgo-retorno de las inversiones. </w:t>
      </w:r>
      <w:r w:rsidR="003D65AD" w:rsidRPr="00DF7495">
        <w:rPr>
          <w:lang w:val="es-CO"/>
        </w:rPr>
        <w:t>Para ello, l</w:t>
      </w:r>
      <w:r w:rsidR="00FB18C9" w:rsidRPr="00DF7495">
        <w:rPr>
          <w:lang w:val="es-CO"/>
        </w:rPr>
        <w:t>a sociedad administradora debe mencionar c</w:t>
      </w:r>
      <w:r w:rsidR="00F2469F" w:rsidRPr="00DF7495">
        <w:rPr>
          <w:lang w:val="es-CO"/>
        </w:rPr>
        <w:t>ó</w:t>
      </w:r>
      <w:r w:rsidR="00FB18C9" w:rsidRPr="00DF7495">
        <w:rPr>
          <w:lang w:val="es-CO"/>
        </w:rPr>
        <w:t xml:space="preserve">mo es su aproximación, enfoque o estrategia(s) para la incorporación de estos </w:t>
      </w:r>
      <w:r w:rsidR="00046D7F" w:rsidRPr="00DF7495">
        <w:rPr>
          <w:lang w:val="es-CO"/>
        </w:rPr>
        <w:t>riesgo</w:t>
      </w:r>
      <w:r w:rsidR="00BA176F" w:rsidRPr="00DF7495">
        <w:rPr>
          <w:lang w:val="es-CO"/>
        </w:rPr>
        <w:t>s</w:t>
      </w:r>
      <w:r w:rsidR="00FB18C9" w:rsidRPr="00DF7495">
        <w:rPr>
          <w:lang w:val="es-CO"/>
        </w:rPr>
        <w:t>.</w:t>
      </w:r>
    </w:p>
    <w:p w14:paraId="504BB7B3" w14:textId="77777777" w:rsidR="00FB18C9" w:rsidRPr="00DF7495" w:rsidRDefault="00FB18C9" w:rsidP="00642C13">
      <w:pPr>
        <w:pStyle w:val="Ttulo4"/>
        <w:numPr>
          <w:ilvl w:val="0"/>
          <w:numId w:val="0"/>
        </w:numPr>
        <w:pBdr>
          <w:left w:val="single" w:sz="4" w:space="1" w:color="auto"/>
        </w:pBdr>
        <w:rPr>
          <w:lang w:val="es-CO"/>
        </w:rPr>
      </w:pPr>
    </w:p>
    <w:p w14:paraId="251553EC" w14:textId="23D1AE58" w:rsidR="00541EB5" w:rsidRPr="00DF7495" w:rsidRDefault="00324EB5" w:rsidP="00642C13">
      <w:pPr>
        <w:pStyle w:val="Ttulo4"/>
        <w:numPr>
          <w:ilvl w:val="0"/>
          <w:numId w:val="0"/>
        </w:numPr>
        <w:pBdr>
          <w:left w:val="single" w:sz="4" w:space="1" w:color="auto"/>
        </w:pBdr>
        <w:rPr>
          <w:lang w:val="es-CO"/>
        </w:rPr>
      </w:pPr>
      <w:r w:rsidRPr="00DF7495">
        <w:rPr>
          <w:lang w:val="es-CO"/>
        </w:rPr>
        <w:t xml:space="preserve">En caso de no incluir dicha integración, la política </w:t>
      </w:r>
      <w:r w:rsidR="00233A5A" w:rsidRPr="00DF7495">
        <w:rPr>
          <w:lang w:val="es-CO"/>
        </w:rPr>
        <w:t xml:space="preserve">de inversión </w:t>
      </w:r>
      <w:r w:rsidRPr="00DF7495">
        <w:rPr>
          <w:lang w:val="es-CO"/>
        </w:rPr>
        <w:t>deberá establecer explícitamente las razones por las cuales no se incluy</w:t>
      </w:r>
      <w:r w:rsidR="00632E08" w:rsidRPr="00DF7495">
        <w:rPr>
          <w:lang w:val="es-CO"/>
        </w:rPr>
        <w:t>e</w:t>
      </w:r>
      <w:r w:rsidRPr="00DF7495">
        <w:rPr>
          <w:lang w:val="es-CO"/>
        </w:rPr>
        <w:t xml:space="preserve"> el análisis de dichos riesgos.</w:t>
      </w:r>
    </w:p>
    <w:p w14:paraId="6C8E224E" w14:textId="77777777" w:rsidR="00324EB5" w:rsidRPr="00DF7495" w:rsidRDefault="00324EB5" w:rsidP="00642C13">
      <w:pPr>
        <w:pStyle w:val="Ttulo4"/>
        <w:numPr>
          <w:ilvl w:val="0"/>
          <w:numId w:val="0"/>
        </w:numPr>
        <w:pBdr>
          <w:left w:val="single" w:sz="4" w:space="1" w:color="auto"/>
        </w:pBdr>
        <w:rPr>
          <w:highlight w:val="red"/>
          <w:lang w:val="es-CO"/>
        </w:rPr>
      </w:pPr>
    </w:p>
    <w:p w14:paraId="12CF52E8" w14:textId="03D1BAF8" w:rsidR="00C62529" w:rsidRPr="00DF7495" w:rsidRDefault="00742CA0" w:rsidP="00642C13">
      <w:pPr>
        <w:pStyle w:val="Ttulo4"/>
        <w:pBdr>
          <w:left w:val="single" w:sz="4" w:space="1" w:color="auto"/>
        </w:pBdr>
        <w:ind w:left="0"/>
        <w:rPr>
          <w:lang w:val="es-CO"/>
        </w:rPr>
      </w:pPr>
      <w:r w:rsidRPr="00DF7495">
        <w:rPr>
          <w:lang w:val="es-CO"/>
        </w:rPr>
        <w:t>Indicación si el portafolio tendrá algún nivel de apalancamiento y a través de qué operaciones lo realizará</w:t>
      </w:r>
      <w:r w:rsidR="00D34589" w:rsidRPr="00DF7495">
        <w:rPr>
          <w:lang w:val="es-CO"/>
        </w:rPr>
        <w:t xml:space="preserve">, </w:t>
      </w:r>
      <w:r w:rsidRPr="00DF7495">
        <w:rPr>
          <w:lang w:val="es-CO"/>
        </w:rPr>
        <w:t xml:space="preserve">así como el límite máximo de apalancamiento del </w:t>
      </w:r>
      <w:r w:rsidR="00872847" w:rsidRPr="00DF7495">
        <w:rPr>
          <w:lang w:val="es-CO"/>
        </w:rPr>
        <w:t>portafolio</w:t>
      </w:r>
      <w:r w:rsidRPr="00DF7495">
        <w:rPr>
          <w:lang w:val="es-CO"/>
        </w:rPr>
        <w:t>.</w:t>
      </w:r>
    </w:p>
    <w:p w14:paraId="313CFAE1" w14:textId="77777777" w:rsidR="006F1CA6" w:rsidRPr="00DF7495" w:rsidRDefault="006F1CA6" w:rsidP="00642C13">
      <w:pPr>
        <w:pBdr>
          <w:left w:val="single" w:sz="4" w:space="1" w:color="auto"/>
        </w:pBdr>
        <w:rPr>
          <w:lang w:val="es-CO" w:eastAsia="es-ES"/>
        </w:rPr>
      </w:pPr>
    </w:p>
    <w:p w14:paraId="14E3FA86" w14:textId="60A2A71C" w:rsidR="006F1CA6" w:rsidRPr="00DF7495" w:rsidRDefault="00C85238" w:rsidP="00642C13">
      <w:pPr>
        <w:pStyle w:val="Ttulo4"/>
        <w:pBdr>
          <w:left w:val="single" w:sz="4" w:space="1" w:color="auto"/>
        </w:pBdr>
        <w:ind w:left="0"/>
        <w:rPr>
          <w:lang w:val="es-CO"/>
        </w:rPr>
      </w:pPr>
      <w:r w:rsidRPr="00DF7495">
        <w:rPr>
          <w:lang w:val="es-CO"/>
        </w:rPr>
        <w:t>Políticas</w:t>
      </w:r>
      <w:r w:rsidR="004261F0" w:rsidRPr="00DF7495">
        <w:rPr>
          <w:lang w:val="es-CO"/>
        </w:rPr>
        <w:t xml:space="preserve"> para </w:t>
      </w:r>
      <w:r w:rsidRPr="00DF7495">
        <w:rPr>
          <w:lang w:val="es-CO"/>
        </w:rPr>
        <w:t>la realización</w:t>
      </w:r>
      <w:r w:rsidR="004261F0" w:rsidRPr="00DF7495">
        <w:rPr>
          <w:lang w:val="es-CO"/>
        </w:rPr>
        <w:t xml:space="preserve"> de operaciones de report</w:t>
      </w:r>
      <w:r w:rsidR="00891789" w:rsidRPr="00DF7495">
        <w:rPr>
          <w:lang w:val="es-CO"/>
        </w:rPr>
        <w:t>o</w:t>
      </w:r>
      <w:r w:rsidR="004261F0" w:rsidRPr="00DF7495">
        <w:rPr>
          <w:lang w:val="es-CO"/>
        </w:rPr>
        <w:t>, simultáneas y TTV</w:t>
      </w:r>
      <w:r w:rsidR="00457425" w:rsidRPr="00DF7495">
        <w:rPr>
          <w:lang w:val="es-CO"/>
        </w:rPr>
        <w:t>s</w:t>
      </w:r>
      <w:r w:rsidR="00A9031C" w:rsidRPr="00DF7495">
        <w:rPr>
          <w:lang w:val="es-CO"/>
        </w:rPr>
        <w:t>.</w:t>
      </w:r>
    </w:p>
    <w:p w14:paraId="1901DA28" w14:textId="77777777" w:rsidR="00A07CFF" w:rsidRPr="00DF7495" w:rsidRDefault="00A07CFF" w:rsidP="00642C13">
      <w:pPr>
        <w:pBdr>
          <w:left w:val="single" w:sz="4" w:space="1" w:color="auto"/>
        </w:pBdr>
        <w:rPr>
          <w:lang w:val="es-CO" w:eastAsia="es-ES"/>
        </w:rPr>
      </w:pPr>
    </w:p>
    <w:p w14:paraId="5F2E00F0" w14:textId="1E4A5BCF" w:rsidR="00A07CFF" w:rsidRPr="00DF7495" w:rsidRDefault="00C62529" w:rsidP="00642C13">
      <w:pPr>
        <w:pStyle w:val="Ttulo4"/>
        <w:pBdr>
          <w:left w:val="single" w:sz="4" w:space="1" w:color="auto"/>
        </w:pBdr>
        <w:ind w:left="0"/>
        <w:rPr>
          <w:lang w:val="es-CO"/>
        </w:rPr>
      </w:pPr>
      <w:r w:rsidRPr="00DF7495">
        <w:rPr>
          <w:lang w:val="es-CO"/>
        </w:rPr>
        <w:t xml:space="preserve">Políticas para la realización de operaciones con instrumentos financieros derivados y productos estructurados, </w:t>
      </w:r>
      <w:r w:rsidR="00BB19BF" w:rsidRPr="00DF7495">
        <w:rPr>
          <w:lang w:val="es-CO"/>
        </w:rPr>
        <w:t>según</w:t>
      </w:r>
      <w:r w:rsidRPr="00DF7495">
        <w:rPr>
          <w:lang w:val="es-CO"/>
        </w:rPr>
        <w:t xml:space="preserve"> aplique.</w:t>
      </w:r>
    </w:p>
    <w:p w14:paraId="7A7BF27C" w14:textId="77777777" w:rsidR="00B22B76" w:rsidRPr="00DF7495" w:rsidRDefault="00B22B76" w:rsidP="00642C13">
      <w:pPr>
        <w:pBdr>
          <w:left w:val="single" w:sz="4" w:space="1" w:color="auto"/>
        </w:pBdr>
        <w:rPr>
          <w:lang w:val="es-CO" w:eastAsia="es-ES"/>
        </w:rPr>
      </w:pPr>
    </w:p>
    <w:p w14:paraId="5D94EF6E" w14:textId="71928BD4" w:rsidR="00B22B76" w:rsidRPr="00DF7495" w:rsidRDefault="00B22B76" w:rsidP="00642C13">
      <w:pPr>
        <w:pStyle w:val="Ttulo4"/>
        <w:pBdr>
          <w:left w:val="single" w:sz="4" w:space="1" w:color="auto"/>
        </w:pBdr>
        <w:ind w:left="0"/>
        <w:rPr>
          <w:lang w:val="es-CO"/>
        </w:rPr>
      </w:pPr>
      <w:r w:rsidRPr="00DF7495">
        <w:rPr>
          <w:lang w:val="es-CO"/>
        </w:rPr>
        <w:t>Políticas para la realización de operaciones de cobertura</w:t>
      </w:r>
      <w:r w:rsidR="00D50340" w:rsidRPr="00DF7495">
        <w:rPr>
          <w:lang w:val="es-CO"/>
        </w:rPr>
        <w:t xml:space="preserve">, </w:t>
      </w:r>
      <w:r w:rsidR="00BB19BF" w:rsidRPr="00DF7495">
        <w:rPr>
          <w:lang w:val="es-CO"/>
        </w:rPr>
        <w:t>según</w:t>
      </w:r>
      <w:r w:rsidR="00D50340" w:rsidRPr="00DF7495">
        <w:rPr>
          <w:lang w:val="es-CO"/>
        </w:rPr>
        <w:t xml:space="preserve"> aplique.</w:t>
      </w:r>
    </w:p>
    <w:p w14:paraId="51A0EC34" w14:textId="77777777" w:rsidR="0031034A" w:rsidRPr="00DF7495" w:rsidRDefault="0031034A" w:rsidP="00642C13">
      <w:pPr>
        <w:pBdr>
          <w:left w:val="single" w:sz="4" w:space="1" w:color="auto"/>
        </w:pBdr>
        <w:rPr>
          <w:lang w:val="es-CO" w:eastAsia="es-ES"/>
        </w:rPr>
      </w:pPr>
    </w:p>
    <w:p w14:paraId="25842BFE" w14:textId="269D6028" w:rsidR="00A74B51" w:rsidRPr="00DF7495" w:rsidRDefault="0031034A" w:rsidP="00642C13">
      <w:pPr>
        <w:pStyle w:val="Ttulo4"/>
        <w:pBdr>
          <w:left w:val="single" w:sz="4" w:space="1" w:color="auto"/>
        </w:pBdr>
        <w:ind w:left="0"/>
        <w:rPr>
          <w:lang w:val="es-CO"/>
        </w:rPr>
      </w:pPr>
      <w:r w:rsidRPr="00DF7495">
        <w:rPr>
          <w:lang w:val="es-CO"/>
        </w:rPr>
        <w:t xml:space="preserve">Políticas para la </w:t>
      </w:r>
      <w:r w:rsidR="00AD6D84" w:rsidRPr="00DF7495">
        <w:rPr>
          <w:lang w:val="es-CO"/>
        </w:rPr>
        <w:t xml:space="preserve">realización de operaciones </w:t>
      </w:r>
      <w:r w:rsidR="009501E4" w:rsidRPr="00DF7495">
        <w:rPr>
          <w:lang w:val="es-CO"/>
        </w:rPr>
        <w:t>en moneda extranjera</w:t>
      </w:r>
      <w:r w:rsidR="0070538C" w:rsidRPr="00DF7495">
        <w:rPr>
          <w:lang w:val="es-CO"/>
        </w:rPr>
        <w:t xml:space="preserve"> o la adquisición de activos en moneda extranjera</w:t>
      </w:r>
      <w:r w:rsidR="009C3CC9" w:rsidRPr="00DF7495">
        <w:rPr>
          <w:lang w:val="es-CO"/>
        </w:rPr>
        <w:t xml:space="preserve">, así como el </w:t>
      </w:r>
      <w:r w:rsidR="00033014" w:rsidRPr="00DF7495">
        <w:rPr>
          <w:lang w:val="es-CO"/>
        </w:rPr>
        <w:t>límite</w:t>
      </w:r>
      <w:r w:rsidR="009C3CC9" w:rsidRPr="00DF7495">
        <w:rPr>
          <w:lang w:val="es-CO"/>
        </w:rPr>
        <w:t xml:space="preserve"> </w:t>
      </w:r>
      <w:r w:rsidR="00033014" w:rsidRPr="00DF7495">
        <w:rPr>
          <w:lang w:val="es-CO"/>
        </w:rPr>
        <w:t xml:space="preserve">máximo de exposición cambiaria, </w:t>
      </w:r>
      <w:r w:rsidR="003C1D3B" w:rsidRPr="00DF7495">
        <w:rPr>
          <w:lang w:val="es-CO"/>
        </w:rPr>
        <w:t>según</w:t>
      </w:r>
      <w:r w:rsidR="00033014" w:rsidRPr="00DF7495">
        <w:rPr>
          <w:lang w:val="es-CO"/>
        </w:rPr>
        <w:t xml:space="preserve"> aplique.</w:t>
      </w:r>
    </w:p>
    <w:p w14:paraId="099CF802" w14:textId="77777777" w:rsidR="00A62B3D" w:rsidRPr="00DF7495" w:rsidRDefault="00A62B3D" w:rsidP="00642C13">
      <w:pPr>
        <w:pBdr>
          <w:left w:val="single" w:sz="4" w:space="1" w:color="auto"/>
        </w:pBdr>
        <w:rPr>
          <w:lang w:val="es-CO"/>
        </w:rPr>
      </w:pPr>
    </w:p>
    <w:p w14:paraId="2D0D852B" w14:textId="7846D4E8" w:rsidR="008B2DE5" w:rsidRPr="00DF7495" w:rsidRDefault="008B2DE5" w:rsidP="00642C13">
      <w:pPr>
        <w:pStyle w:val="Ttulo4"/>
        <w:pBdr>
          <w:left w:val="single" w:sz="4" w:space="1" w:color="auto"/>
        </w:pBdr>
        <w:ind w:left="0"/>
        <w:rPr>
          <w:lang w:val="es-CO"/>
        </w:rPr>
      </w:pPr>
      <w:r w:rsidRPr="00DF7495">
        <w:rPr>
          <w:lang w:val="es-CO"/>
        </w:rPr>
        <w:t>Índice</w:t>
      </w:r>
      <w:r w:rsidR="001E0144" w:rsidRPr="00DF7495">
        <w:rPr>
          <w:lang w:val="es-CO"/>
        </w:rPr>
        <w:t xml:space="preserve"> de referencia</w:t>
      </w:r>
      <w:r w:rsidR="00EE1373" w:rsidRPr="00DF7495">
        <w:rPr>
          <w:lang w:val="es-CO"/>
        </w:rPr>
        <w:t xml:space="preserve"> o </w:t>
      </w:r>
      <w:r w:rsidR="00EE1373" w:rsidRPr="00DF7495">
        <w:rPr>
          <w:i/>
          <w:iCs/>
          <w:lang w:val="es-CO"/>
        </w:rPr>
        <w:t>benchmark</w:t>
      </w:r>
    </w:p>
    <w:p w14:paraId="44BE66B9" w14:textId="77777777" w:rsidR="008B2DE5" w:rsidRPr="00DF7495" w:rsidRDefault="008B2DE5" w:rsidP="00642C13">
      <w:pPr>
        <w:pStyle w:val="Ttulo4"/>
        <w:numPr>
          <w:ilvl w:val="0"/>
          <w:numId w:val="0"/>
        </w:numPr>
        <w:pBdr>
          <w:left w:val="single" w:sz="4" w:space="1" w:color="auto"/>
        </w:pBdr>
        <w:rPr>
          <w:lang w:val="es-CO"/>
        </w:rPr>
      </w:pPr>
    </w:p>
    <w:p w14:paraId="386B12B5" w14:textId="77F514A3" w:rsidR="00360CB9" w:rsidRPr="00DF7495" w:rsidRDefault="008B2DE5" w:rsidP="00642C13">
      <w:pPr>
        <w:pStyle w:val="Ttulo4"/>
        <w:numPr>
          <w:ilvl w:val="0"/>
          <w:numId w:val="0"/>
        </w:numPr>
        <w:pBdr>
          <w:left w:val="single" w:sz="4" w:space="1" w:color="auto"/>
        </w:pBdr>
        <w:rPr>
          <w:lang w:val="es-CO"/>
        </w:rPr>
      </w:pPr>
      <w:r w:rsidRPr="00DF7495">
        <w:rPr>
          <w:lang w:val="es-CO"/>
        </w:rPr>
        <w:t>Dentro</w:t>
      </w:r>
      <w:r w:rsidR="00603A57" w:rsidRPr="00DF7495">
        <w:rPr>
          <w:lang w:val="es-CO"/>
        </w:rPr>
        <w:t xml:space="preserve"> de la política de inversión de cada portafolio, la socie</w:t>
      </w:r>
      <w:r w:rsidR="00EF22F2" w:rsidRPr="00DF7495">
        <w:rPr>
          <w:lang w:val="es-CO"/>
        </w:rPr>
        <w:t xml:space="preserve">dad administradora deberá definir </w:t>
      </w:r>
      <w:r w:rsidR="00927C2D" w:rsidRPr="00DF7495">
        <w:rPr>
          <w:lang w:val="es-CO"/>
        </w:rPr>
        <w:t xml:space="preserve">un </w:t>
      </w:r>
      <w:r w:rsidR="0070773C" w:rsidRPr="00DF7495">
        <w:rPr>
          <w:lang w:val="es-CO"/>
        </w:rPr>
        <w:t>índice de referencia</w:t>
      </w:r>
      <w:r w:rsidR="00351C37" w:rsidRPr="00DF7495">
        <w:rPr>
          <w:lang w:val="es-CO"/>
        </w:rPr>
        <w:t xml:space="preserve"> o </w:t>
      </w:r>
      <w:r w:rsidR="00351C37" w:rsidRPr="00DF7495">
        <w:rPr>
          <w:i/>
          <w:lang w:val="es-CO"/>
        </w:rPr>
        <w:t>benchmark</w:t>
      </w:r>
      <w:r w:rsidR="0070773C" w:rsidRPr="00DF7495">
        <w:rPr>
          <w:lang w:val="es-CO"/>
        </w:rPr>
        <w:t xml:space="preserve"> </w:t>
      </w:r>
      <w:r w:rsidR="00927C2D" w:rsidRPr="00DF7495">
        <w:rPr>
          <w:lang w:val="es-CO"/>
        </w:rPr>
        <w:t xml:space="preserve">que permita la </w:t>
      </w:r>
      <w:r w:rsidR="005433F2" w:rsidRPr="00DF7495">
        <w:rPr>
          <w:lang w:val="es-CO"/>
        </w:rPr>
        <w:t xml:space="preserve">comparación de </w:t>
      </w:r>
      <w:r w:rsidR="00625B40" w:rsidRPr="00DF7495">
        <w:rPr>
          <w:lang w:val="es-CO"/>
        </w:rPr>
        <w:t>los</w:t>
      </w:r>
      <w:r w:rsidR="00C1173B" w:rsidRPr="00DF7495">
        <w:rPr>
          <w:lang w:val="es-CO"/>
        </w:rPr>
        <w:t xml:space="preserve"> rendimientos y riesgo</w:t>
      </w:r>
      <w:r w:rsidR="00530386" w:rsidRPr="00DF7495">
        <w:rPr>
          <w:lang w:val="es-CO"/>
        </w:rPr>
        <w:t>s</w:t>
      </w:r>
      <w:r w:rsidR="00C1173B" w:rsidRPr="00DF7495">
        <w:rPr>
          <w:lang w:val="es-CO"/>
        </w:rPr>
        <w:t xml:space="preserve"> </w:t>
      </w:r>
      <w:r w:rsidR="00625B40" w:rsidRPr="00DF7495">
        <w:rPr>
          <w:lang w:val="es-CO"/>
        </w:rPr>
        <w:t xml:space="preserve">del portafolio </w:t>
      </w:r>
      <w:r w:rsidR="00EC22F5" w:rsidRPr="00DF7495">
        <w:rPr>
          <w:lang w:val="es-CO"/>
        </w:rPr>
        <w:t>con</w:t>
      </w:r>
      <w:r w:rsidR="00FD6C36" w:rsidRPr="00DF7495">
        <w:rPr>
          <w:lang w:val="es-CO"/>
        </w:rPr>
        <w:t>tra</w:t>
      </w:r>
      <w:r w:rsidR="00C9186E" w:rsidRPr="00DF7495">
        <w:rPr>
          <w:lang w:val="es-CO"/>
        </w:rPr>
        <w:t xml:space="preserve"> el</w:t>
      </w:r>
      <w:r w:rsidR="00EC22F5" w:rsidRPr="00DF7495">
        <w:rPr>
          <w:lang w:val="es-CO"/>
        </w:rPr>
        <w:t xml:space="preserve"> comportamiento del mercado</w:t>
      </w:r>
      <w:r w:rsidR="00C9186E" w:rsidRPr="00DF7495">
        <w:rPr>
          <w:lang w:val="es-CO"/>
        </w:rPr>
        <w:t xml:space="preserve"> </w:t>
      </w:r>
      <w:r w:rsidR="00E84A8C" w:rsidRPr="00DF7495">
        <w:rPr>
          <w:lang w:val="es-CO"/>
        </w:rPr>
        <w:t>relevante</w:t>
      </w:r>
      <w:r w:rsidR="00EC22F5" w:rsidRPr="00DF7495">
        <w:rPr>
          <w:lang w:val="es-CO"/>
        </w:rPr>
        <w:t xml:space="preserve">. Para ello, las sociedades administradoras deben </w:t>
      </w:r>
      <w:r w:rsidR="001A01EB" w:rsidRPr="00DF7495">
        <w:rPr>
          <w:lang w:val="es-CO"/>
        </w:rPr>
        <w:t xml:space="preserve">contar con políticas para la elección </w:t>
      </w:r>
      <w:r w:rsidR="00BD2C58" w:rsidRPr="00DF7495">
        <w:rPr>
          <w:lang w:val="es-CO"/>
        </w:rPr>
        <w:t>o construcción de</w:t>
      </w:r>
      <w:r w:rsidR="002F7CF9" w:rsidRPr="00DF7495">
        <w:rPr>
          <w:lang w:val="es-CO"/>
        </w:rPr>
        <w:t xml:space="preserve"> un </w:t>
      </w:r>
      <w:r w:rsidR="00AB4EF6" w:rsidRPr="00DF7495">
        <w:rPr>
          <w:lang w:val="es-CO"/>
        </w:rPr>
        <w:t>índice de referencia</w:t>
      </w:r>
      <w:r w:rsidR="006015A6" w:rsidRPr="00DF7495">
        <w:rPr>
          <w:lang w:val="es-CO"/>
        </w:rPr>
        <w:t xml:space="preserve"> o </w:t>
      </w:r>
      <w:r w:rsidR="006015A6" w:rsidRPr="00DF7495">
        <w:rPr>
          <w:i/>
          <w:lang w:val="es-CO"/>
        </w:rPr>
        <w:t>benchmark</w:t>
      </w:r>
      <w:r w:rsidR="002F7CF9" w:rsidRPr="00DF7495">
        <w:rPr>
          <w:i/>
          <w:lang w:val="es-CO"/>
        </w:rPr>
        <w:t xml:space="preserve"> </w:t>
      </w:r>
      <w:r w:rsidR="001A767C" w:rsidRPr="00DF7495">
        <w:rPr>
          <w:lang w:val="es-CO"/>
        </w:rPr>
        <w:t xml:space="preserve">que se ajuste al objetivo de inversión </w:t>
      </w:r>
      <w:r w:rsidR="00F27A96" w:rsidRPr="00DF7495">
        <w:rPr>
          <w:lang w:val="es-CO"/>
        </w:rPr>
        <w:t xml:space="preserve">y características </w:t>
      </w:r>
      <w:r w:rsidR="00D94A41" w:rsidRPr="00DF7495">
        <w:rPr>
          <w:lang w:val="es-CO"/>
        </w:rPr>
        <w:t>del portafolio.</w:t>
      </w:r>
      <w:r w:rsidR="002A1410" w:rsidRPr="00DF7495">
        <w:rPr>
          <w:lang w:val="es-CO"/>
        </w:rPr>
        <w:t xml:space="preserve"> </w:t>
      </w:r>
    </w:p>
    <w:p w14:paraId="2AE69354" w14:textId="77777777" w:rsidR="00360CB9" w:rsidRPr="00DF7495" w:rsidRDefault="00360CB9" w:rsidP="00642C13">
      <w:pPr>
        <w:pStyle w:val="Ttulo4"/>
        <w:numPr>
          <w:ilvl w:val="0"/>
          <w:numId w:val="0"/>
        </w:numPr>
        <w:pBdr>
          <w:left w:val="single" w:sz="4" w:space="1" w:color="auto"/>
        </w:pBdr>
        <w:rPr>
          <w:lang w:val="es-CO"/>
        </w:rPr>
      </w:pPr>
    </w:p>
    <w:p w14:paraId="4AEF5B96" w14:textId="224A5AEB" w:rsidR="00360CB9" w:rsidRPr="00DF7495" w:rsidRDefault="00360CB9" w:rsidP="007C1418">
      <w:pPr>
        <w:pStyle w:val="Ttulo4"/>
        <w:numPr>
          <w:ilvl w:val="0"/>
          <w:numId w:val="0"/>
        </w:numPr>
        <w:pBdr>
          <w:left w:val="single" w:sz="4" w:space="1" w:color="auto"/>
        </w:pBdr>
        <w:rPr>
          <w:lang w:val="es-CO"/>
        </w:rPr>
      </w:pPr>
      <w:r w:rsidRPr="00DF7495">
        <w:rPr>
          <w:lang w:val="es-CO"/>
        </w:rPr>
        <w:t xml:space="preserve">El prospecto de cada portafolio </w:t>
      </w:r>
      <w:r w:rsidR="00684495" w:rsidRPr="00DF7495">
        <w:rPr>
          <w:lang w:val="es-CO"/>
        </w:rPr>
        <w:t xml:space="preserve">debe incluir </w:t>
      </w:r>
      <w:r w:rsidR="005D3C0E" w:rsidRPr="00DF7495">
        <w:rPr>
          <w:lang w:val="es-CO"/>
        </w:rPr>
        <w:t>un</w:t>
      </w:r>
      <w:r w:rsidR="00480466" w:rsidRPr="00DF7495">
        <w:rPr>
          <w:lang w:val="es-CO"/>
        </w:rPr>
        <w:t>a</w:t>
      </w:r>
      <w:r w:rsidR="005D3C0E" w:rsidRPr="00DF7495">
        <w:rPr>
          <w:lang w:val="es-CO"/>
        </w:rPr>
        <w:t xml:space="preserve"> explicación breve de las </w:t>
      </w:r>
      <w:r w:rsidR="00480466" w:rsidRPr="00DF7495">
        <w:rPr>
          <w:lang w:val="es-CO"/>
        </w:rPr>
        <w:t xml:space="preserve">razones </w:t>
      </w:r>
      <w:r w:rsidR="00E51DCF" w:rsidRPr="00DF7495">
        <w:rPr>
          <w:lang w:val="es-CO"/>
        </w:rPr>
        <w:t>de</w:t>
      </w:r>
      <w:r w:rsidR="00BD2069" w:rsidRPr="00DF7495">
        <w:rPr>
          <w:lang w:val="es-CO"/>
        </w:rPr>
        <w:t xml:space="preserve"> </w:t>
      </w:r>
      <w:r w:rsidR="00DE2DB9" w:rsidRPr="00DF7495">
        <w:rPr>
          <w:lang w:val="es-CO"/>
        </w:rPr>
        <w:t xml:space="preserve">elección o </w:t>
      </w:r>
      <w:r w:rsidR="00BD2069" w:rsidRPr="00DF7495">
        <w:rPr>
          <w:lang w:val="es-CO"/>
        </w:rPr>
        <w:t xml:space="preserve">construcción del </w:t>
      </w:r>
      <w:r w:rsidR="00DF4A9F" w:rsidRPr="00DF7495">
        <w:rPr>
          <w:iCs/>
          <w:lang w:val="es-CO"/>
        </w:rPr>
        <w:t>índice de referencia</w:t>
      </w:r>
      <w:r w:rsidR="006015A6" w:rsidRPr="00DF7495">
        <w:rPr>
          <w:iCs/>
          <w:lang w:val="es-CO"/>
        </w:rPr>
        <w:t xml:space="preserve"> </w:t>
      </w:r>
      <w:r w:rsidR="006015A6" w:rsidRPr="00DF7495">
        <w:rPr>
          <w:lang w:val="es-CO"/>
        </w:rPr>
        <w:t xml:space="preserve">o </w:t>
      </w:r>
      <w:r w:rsidR="006015A6" w:rsidRPr="00DF7495">
        <w:rPr>
          <w:i/>
          <w:lang w:val="es-CO"/>
        </w:rPr>
        <w:t>benchmark</w:t>
      </w:r>
      <w:r w:rsidR="006D12B8" w:rsidRPr="00DF7495">
        <w:rPr>
          <w:i/>
          <w:iCs/>
          <w:lang w:val="es-CO"/>
        </w:rPr>
        <w:t>,</w:t>
      </w:r>
      <w:r w:rsidR="00BD2069" w:rsidRPr="00DF7495">
        <w:rPr>
          <w:i/>
          <w:lang w:val="es-CO"/>
        </w:rPr>
        <w:t xml:space="preserve"> </w:t>
      </w:r>
      <w:r w:rsidR="00F46628" w:rsidRPr="00DF7495">
        <w:rPr>
          <w:lang w:val="es-CO"/>
        </w:rPr>
        <w:t>junto con</w:t>
      </w:r>
      <w:r w:rsidR="007C02F9" w:rsidRPr="00DF7495">
        <w:rPr>
          <w:lang w:val="es-CO"/>
        </w:rPr>
        <w:t xml:space="preserve"> la </w:t>
      </w:r>
      <w:r w:rsidR="006851FF" w:rsidRPr="00DF7495">
        <w:rPr>
          <w:lang w:val="es-CO"/>
        </w:rPr>
        <w:t xml:space="preserve">identificación de </w:t>
      </w:r>
      <w:r w:rsidR="0086357F" w:rsidRPr="00DF7495">
        <w:rPr>
          <w:lang w:val="es-CO"/>
        </w:rPr>
        <w:t xml:space="preserve">otras </w:t>
      </w:r>
      <w:r w:rsidR="00703FFF" w:rsidRPr="00DF7495">
        <w:rPr>
          <w:lang w:val="es-CO"/>
        </w:rPr>
        <w:t>mediciones que permit</w:t>
      </w:r>
      <w:r w:rsidR="00591B9A" w:rsidRPr="00DF7495">
        <w:rPr>
          <w:lang w:val="es-CO"/>
        </w:rPr>
        <w:t>a</w:t>
      </w:r>
      <w:r w:rsidR="00703FFF" w:rsidRPr="00DF7495">
        <w:rPr>
          <w:lang w:val="es-CO"/>
        </w:rPr>
        <w:t xml:space="preserve">n </w:t>
      </w:r>
      <w:r w:rsidR="00F93470" w:rsidRPr="00DF7495">
        <w:rPr>
          <w:lang w:val="es-CO"/>
        </w:rPr>
        <w:t xml:space="preserve">evaluar el desempeño del </w:t>
      </w:r>
      <w:r w:rsidR="00231E1A" w:rsidRPr="00DF7495">
        <w:rPr>
          <w:lang w:val="es-CO"/>
        </w:rPr>
        <w:t xml:space="preserve">respectivo </w:t>
      </w:r>
      <w:r w:rsidR="00F93470" w:rsidRPr="00DF7495">
        <w:rPr>
          <w:lang w:val="es-CO"/>
        </w:rPr>
        <w:lastRenderedPageBreak/>
        <w:t>portafolio</w:t>
      </w:r>
      <w:r w:rsidR="00C75C71" w:rsidRPr="00DF7495">
        <w:rPr>
          <w:lang w:val="es-CO"/>
        </w:rPr>
        <w:t>.</w:t>
      </w:r>
      <w:r w:rsidR="000E5D39" w:rsidRPr="00DF7495">
        <w:rPr>
          <w:lang w:val="es-CO"/>
        </w:rPr>
        <w:t xml:space="preserve"> </w:t>
      </w:r>
      <w:r w:rsidR="006015A6" w:rsidRPr="00DF7495">
        <w:rPr>
          <w:lang w:val="es-CO"/>
        </w:rPr>
        <w:t>No obstante, s</w:t>
      </w:r>
      <w:r w:rsidR="005303BE" w:rsidRPr="00DF7495">
        <w:rPr>
          <w:lang w:val="es-CO"/>
        </w:rPr>
        <w:t>i como consecuencia del análisis técnico</w:t>
      </w:r>
      <w:r w:rsidR="00793D99" w:rsidRPr="00DF7495">
        <w:rPr>
          <w:lang w:val="es-CO"/>
        </w:rPr>
        <w:t>,</w:t>
      </w:r>
      <w:r w:rsidR="00440265" w:rsidRPr="00DF7495">
        <w:rPr>
          <w:lang w:val="es-CO"/>
        </w:rPr>
        <w:t xml:space="preserve"> la sociedad administradora</w:t>
      </w:r>
      <w:r w:rsidR="003D5EA9" w:rsidRPr="00DF7495">
        <w:rPr>
          <w:lang w:val="es-CO"/>
        </w:rPr>
        <w:t xml:space="preserve"> </w:t>
      </w:r>
      <w:r w:rsidR="005303BE" w:rsidRPr="00DF7495">
        <w:rPr>
          <w:lang w:val="es-CO"/>
        </w:rPr>
        <w:t>concluy</w:t>
      </w:r>
      <w:r w:rsidR="008D4C26" w:rsidRPr="00DF7495">
        <w:rPr>
          <w:lang w:val="es-CO"/>
        </w:rPr>
        <w:t>e</w:t>
      </w:r>
      <w:r w:rsidR="005303BE" w:rsidRPr="00DF7495">
        <w:rPr>
          <w:lang w:val="es-CO"/>
        </w:rPr>
        <w:t xml:space="preserve"> </w:t>
      </w:r>
      <w:r w:rsidR="00D227BC" w:rsidRPr="00DF7495">
        <w:rPr>
          <w:lang w:val="es-CO"/>
        </w:rPr>
        <w:t xml:space="preserve">que no existe un referente </w:t>
      </w:r>
      <w:r w:rsidR="0054774B" w:rsidRPr="00DF7495">
        <w:rPr>
          <w:lang w:val="es-CO"/>
        </w:rPr>
        <w:t>apropiado para la elección o construcción del índice de referencia</w:t>
      </w:r>
      <w:r w:rsidR="00B81E2A" w:rsidRPr="00DF7495">
        <w:rPr>
          <w:lang w:val="es-CO"/>
        </w:rPr>
        <w:t xml:space="preserve"> o </w:t>
      </w:r>
      <w:r w:rsidR="00B81E2A" w:rsidRPr="00DF7495">
        <w:rPr>
          <w:i/>
          <w:lang w:val="es-CO"/>
        </w:rPr>
        <w:t>benchmark</w:t>
      </w:r>
      <w:r w:rsidR="008D4C26" w:rsidRPr="00DF7495">
        <w:rPr>
          <w:lang w:val="es-CO"/>
        </w:rPr>
        <w:t xml:space="preserve">, </w:t>
      </w:r>
      <w:r w:rsidR="00EA413C" w:rsidRPr="00DF7495">
        <w:rPr>
          <w:lang w:val="es-CO"/>
        </w:rPr>
        <w:t xml:space="preserve">deberá incluir </w:t>
      </w:r>
      <w:r w:rsidR="00A47642" w:rsidRPr="00DF7495">
        <w:rPr>
          <w:lang w:val="es-CO"/>
        </w:rPr>
        <w:t xml:space="preserve">en el prospecto del portafolio un resumen </w:t>
      </w:r>
      <w:r w:rsidR="00B81E2A" w:rsidRPr="00DF7495">
        <w:rPr>
          <w:lang w:val="es-CO"/>
        </w:rPr>
        <w:t>que señale</w:t>
      </w:r>
      <w:r w:rsidR="00793D99" w:rsidRPr="00DF7495">
        <w:rPr>
          <w:lang w:val="es-CO"/>
        </w:rPr>
        <w:t xml:space="preserve"> las razones por las cuales no se </w:t>
      </w:r>
      <w:r w:rsidR="00471711" w:rsidRPr="00DF7495">
        <w:rPr>
          <w:lang w:val="es-CO"/>
        </w:rPr>
        <w:t>define</w:t>
      </w:r>
      <w:r w:rsidR="00793D99" w:rsidRPr="00DF7495">
        <w:rPr>
          <w:lang w:val="es-CO"/>
        </w:rPr>
        <w:t xml:space="preserve"> el índice de referencia</w:t>
      </w:r>
      <w:r w:rsidR="00B81E2A" w:rsidRPr="00DF7495">
        <w:rPr>
          <w:lang w:val="es-CO"/>
        </w:rPr>
        <w:t xml:space="preserve"> o </w:t>
      </w:r>
      <w:r w:rsidR="00B81E2A" w:rsidRPr="00DF7495">
        <w:rPr>
          <w:i/>
          <w:lang w:val="es-CO"/>
        </w:rPr>
        <w:t>benchmark</w:t>
      </w:r>
      <w:r w:rsidR="00471711" w:rsidRPr="00DF7495">
        <w:rPr>
          <w:lang w:val="es-CO"/>
        </w:rPr>
        <w:t xml:space="preserve"> para el respectivo portafolio.</w:t>
      </w:r>
      <w:r w:rsidR="00793D99" w:rsidRPr="00DF7495">
        <w:rPr>
          <w:lang w:val="es-CO"/>
        </w:rPr>
        <w:t xml:space="preserve"> </w:t>
      </w:r>
    </w:p>
    <w:p w14:paraId="59F1B8A9" w14:textId="77777777" w:rsidR="00F71BB0" w:rsidRPr="00DF7495" w:rsidRDefault="00F71BB0" w:rsidP="007C1418">
      <w:pPr>
        <w:pBdr>
          <w:left w:val="single" w:sz="4" w:space="1" w:color="auto"/>
        </w:pBdr>
        <w:rPr>
          <w:lang w:val="es-CO"/>
        </w:rPr>
      </w:pPr>
    </w:p>
    <w:p w14:paraId="224BB0EB" w14:textId="10351639" w:rsidR="002C141E" w:rsidRDefault="00F01B8B" w:rsidP="007C1418">
      <w:pPr>
        <w:pStyle w:val="Ttulo3"/>
        <w:pBdr>
          <w:left w:val="single" w:sz="4" w:space="1" w:color="auto"/>
        </w:pBdr>
        <w:rPr>
          <w:lang w:val="es-CO"/>
        </w:rPr>
      </w:pPr>
      <w:r>
        <w:rPr>
          <w:lang w:val="es-CO"/>
        </w:rPr>
        <w:t>C</w:t>
      </w:r>
      <w:r w:rsidR="002C141E">
        <w:rPr>
          <w:lang w:val="es-CO"/>
        </w:rPr>
        <w:t>ategorización estandarizada.</w:t>
      </w:r>
    </w:p>
    <w:p w14:paraId="37BF9C38" w14:textId="77777777" w:rsidR="002C141E" w:rsidRDefault="002C141E" w:rsidP="007C1418">
      <w:pPr>
        <w:pStyle w:val="Ttulo3"/>
        <w:numPr>
          <w:ilvl w:val="0"/>
          <w:numId w:val="0"/>
        </w:numPr>
        <w:pBdr>
          <w:left w:val="single" w:sz="4" w:space="1" w:color="auto"/>
        </w:pBdr>
        <w:rPr>
          <w:lang w:val="es-CO"/>
        </w:rPr>
      </w:pPr>
    </w:p>
    <w:p w14:paraId="55BA2EBB" w14:textId="4CCEE1F7" w:rsidR="00A15BEF" w:rsidRPr="00DF7495" w:rsidRDefault="00040AE4" w:rsidP="007C1418">
      <w:pPr>
        <w:pStyle w:val="Ttulo3"/>
        <w:numPr>
          <w:ilvl w:val="0"/>
          <w:numId w:val="0"/>
        </w:numPr>
        <w:pBdr>
          <w:left w:val="single" w:sz="4" w:space="1" w:color="auto"/>
        </w:pBdr>
        <w:rPr>
          <w:lang w:val="es-CO"/>
        </w:rPr>
      </w:pPr>
      <w:r w:rsidRPr="00DF7495">
        <w:rPr>
          <w:lang w:val="es-CO"/>
        </w:rPr>
        <w:t>En el caso que e</w:t>
      </w:r>
      <w:r w:rsidR="00233B54" w:rsidRPr="00DF7495">
        <w:rPr>
          <w:lang w:val="es-CO"/>
        </w:rPr>
        <w:t xml:space="preserve">l portafolio haga parte de alguna </w:t>
      </w:r>
      <w:r w:rsidR="00A15BEF" w:rsidRPr="00DF7495">
        <w:rPr>
          <w:lang w:val="es-CO"/>
        </w:rPr>
        <w:t xml:space="preserve">categorización </w:t>
      </w:r>
      <w:r w:rsidR="00233B54" w:rsidRPr="00DF7495">
        <w:rPr>
          <w:lang w:val="es-CO"/>
        </w:rPr>
        <w:t xml:space="preserve">estandarizada y reconocida por la industria, la sociedad administradora puede </w:t>
      </w:r>
      <w:r w:rsidR="0027390F" w:rsidRPr="00DF7495">
        <w:rPr>
          <w:lang w:val="es-CO"/>
        </w:rPr>
        <w:t>mencionar</w:t>
      </w:r>
      <w:r w:rsidR="00233B54" w:rsidRPr="00DF7495">
        <w:rPr>
          <w:lang w:val="es-CO"/>
        </w:rPr>
        <w:t xml:space="preserve"> dicha </w:t>
      </w:r>
      <w:r w:rsidR="00A15BEF" w:rsidRPr="00DF7495">
        <w:rPr>
          <w:lang w:val="es-CO"/>
        </w:rPr>
        <w:t>categorización</w:t>
      </w:r>
      <w:r w:rsidR="007B7625" w:rsidRPr="00DF7495">
        <w:rPr>
          <w:lang w:val="es-CO"/>
        </w:rPr>
        <w:t>,</w:t>
      </w:r>
      <w:r w:rsidR="00A15BEF" w:rsidRPr="00DF7495">
        <w:rPr>
          <w:lang w:val="es-CO"/>
        </w:rPr>
        <w:t xml:space="preserve"> siempre que incluya en el prospecto del portafolio la remisión a </w:t>
      </w:r>
      <w:r w:rsidR="00DD0FD9" w:rsidRPr="00DF7495">
        <w:rPr>
          <w:lang w:val="es-CO"/>
        </w:rPr>
        <w:t>la información necesaria para conocer y entender dicha categorización</w:t>
      </w:r>
      <w:r w:rsidRPr="00DF7495">
        <w:rPr>
          <w:lang w:val="es-CO"/>
        </w:rPr>
        <w:t xml:space="preserve"> y su metodología. </w:t>
      </w:r>
    </w:p>
    <w:p w14:paraId="52D55243" w14:textId="47186C3E" w:rsidR="0014579D" w:rsidRPr="00DF7495" w:rsidRDefault="0014579D" w:rsidP="007C1418">
      <w:pPr>
        <w:pStyle w:val="Ttulo3"/>
        <w:numPr>
          <w:ilvl w:val="0"/>
          <w:numId w:val="0"/>
        </w:numPr>
        <w:pBdr>
          <w:left w:val="single" w:sz="4" w:space="1" w:color="auto"/>
        </w:pBdr>
        <w:rPr>
          <w:lang w:val="es-CO"/>
        </w:rPr>
      </w:pPr>
    </w:p>
    <w:p w14:paraId="2F979990" w14:textId="1F7F69F4" w:rsidR="00F23206" w:rsidRPr="00DF7495" w:rsidRDefault="00F2469F" w:rsidP="007C1418">
      <w:pPr>
        <w:pStyle w:val="Ttulo3"/>
        <w:pBdr>
          <w:left w:val="single" w:sz="4" w:space="1" w:color="auto"/>
        </w:pBdr>
        <w:rPr>
          <w:lang w:val="es-CO"/>
        </w:rPr>
      </w:pPr>
      <w:r w:rsidRPr="00DF7495">
        <w:rPr>
          <w:lang w:val="es-CO"/>
        </w:rPr>
        <w:t>Denominación</w:t>
      </w:r>
      <w:r w:rsidR="000D798D" w:rsidRPr="00DF7495">
        <w:rPr>
          <w:lang w:val="es-CO"/>
        </w:rPr>
        <w:t xml:space="preserve"> ASG</w:t>
      </w:r>
      <w:r w:rsidRPr="00DF7495">
        <w:rPr>
          <w:lang w:val="es-CO"/>
        </w:rPr>
        <w:t xml:space="preserve"> o similares</w:t>
      </w:r>
    </w:p>
    <w:p w14:paraId="4F941792" w14:textId="77777777" w:rsidR="00083A34" w:rsidRPr="00DF7495" w:rsidRDefault="00083A34" w:rsidP="007C1418">
      <w:pPr>
        <w:pBdr>
          <w:left w:val="single" w:sz="4" w:space="1" w:color="auto"/>
        </w:pBdr>
        <w:rPr>
          <w:lang w:val="es-CO" w:eastAsia="es-ES"/>
        </w:rPr>
      </w:pPr>
    </w:p>
    <w:p w14:paraId="58912305" w14:textId="5F4A7BDE" w:rsidR="00181FDB" w:rsidRPr="00DF7495" w:rsidRDefault="00781B09" w:rsidP="007C1418">
      <w:pPr>
        <w:pBdr>
          <w:left w:val="single" w:sz="4" w:space="1" w:color="auto"/>
        </w:pBdr>
        <w:rPr>
          <w:lang w:val="es-CO" w:eastAsia="es-ES"/>
        </w:rPr>
      </w:pPr>
      <w:r w:rsidRPr="00DF7495">
        <w:rPr>
          <w:lang w:val="es-CO" w:eastAsia="es-ES"/>
        </w:rPr>
        <w:t xml:space="preserve">En los casos en los que a estos </w:t>
      </w:r>
      <w:r w:rsidR="0097761C" w:rsidRPr="00DF7495">
        <w:rPr>
          <w:lang w:val="es-CO" w:eastAsia="es-ES"/>
        </w:rPr>
        <w:t>portafolios</w:t>
      </w:r>
      <w:r w:rsidRPr="00DF7495">
        <w:rPr>
          <w:lang w:val="es-CO" w:eastAsia="es-ES"/>
        </w:rPr>
        <w:t xml:space="preserve"> se les asigne una denominación</w:t>
      </w:r>
      <w:r w:rsidR="00673367" w:rsidRPr="00DF7495">
        <w:rPr>
          <w:lang w:val="es-CO" w:eastAsia="es-ES"/>
        </w:rPr>
        <w:t xml:space="preserve"> </w:t>
      </w:r>
      <w:r w:rsidRPr="00DF7495">
        <w:rPr>
          <w:lang w:val="es-CO" w:eastAsia="es-ES"/>
        </w:rPr>
        <w:t xml:space="preserve">relacionada con algunas de las tres dimensiones de </w:t>
      </w:r>
      <w:r w:rsidR="00786321" w:rsidRPr="00DF7495">
        <w:rPr>
          <w:lang w:val="es-CO" w:eastAsia="es-ES"/>
        </w:rPr>
        <w:t>A</w:t>
      </w:r>
      <w:r w:rsidRPr="00DF7495">
        <w:rPr>
          <w:lang w:val="es-CO" w:eastAsia="es-ES"/>
        </w:rPr>
        <w:t>SG</w:t>
      </w:r>
      <w:r w:rsidR="000A1A92" w:rsidRPr="00DF7495">
        <w:rPr>
          <w:lang w:val="es-CO" w:eastAsia="es-ES"/>
        </w:rPr>
        <w:t>,</w:t>
      </w:r>
      <w:r w:rsidRPr="00DF7495">
        <w:rPr>
          <w:lang w:val="es-CO" w:eastAsia="es-ES"/>
        </w:rPr>
        <w:t xml:space="preserve"> o bajo nombres</w:t>
      </w:r>
      <w:r w:rsidR="000A1A92" w:rsidRPr="00DF7495">
        <w:rPr>
          <w:lang w:val="es-CO" w:eastAsia="es-ES"/>
        </w:rPr>
        <w:t xml:space="preserve">, tales </w:t>
      </w:r>
      <w:r w:rsidRPr="00DF7495">
        <w:rPr>
          <w:lang w:val="es-CO" w:eastAsia="es-ES"/>
        </w:rPr>
        <w:t>como</w:t>
      </w:r>
      <w:r w:rsidR="00B932F2" w:rsidRPr="00DF7495">
        <w:rPr>
          <w:lang w:val="es-CO" w:eastAsia="es-ES"/>
        </w:rPr>
        <w:t>,</w:t>
      </w:r>
      <w:r w:rsidR="000A1A92" w:rsidRPr="00DF7495">
        <w:rPr>
          <w:lang w:val="es-CO" w:eastAsia="es-ES"/>
        </w:rPr>
        <w:t xml:space="preserve"> </w:t>
      </w:r>
      <w:r w:rsidRPr="00DF7495">
        <w:rPr>
          <w:lang w:val="es-CO" w:eastAsia="es-ES"/>
        </w:rPr>
        <w:t xml:space="preserve">sostenibles, responsables, o similares, </w:t>
      </w:r>
      <w:r w:rsidR="00ED646D" w:rsidRPr="00DF7495">
        <w:rPr>
          <w:lang w:val="es-CO" w:eastAsia="es-ES"/>
        </w:rPr>
        <w:t>y</w:t>
      </w:r>
      <w:r w:rsidR="00ED646D" w:rsidRPr="00DF7495">
        <w:rPr>
          <w:lang w:val="es-CO"/>
        </w:rPr>
        <w:t xml:space="preserve">/o </w:t>
      </w:r>
      <w:r w:rsidR="008668A4" w:rsidRPr="00DF7495">
        <w:rPr>
          <w:lang w:val="es-CO"/>
        </w:rPr>
        <w:t>se</w:t>
      </w:r>
      <w:r w:rsidR="00ED646D" w:rsidRPr="00DF7495">
        <w:rPr>
          <w:lang w:val="es-CO"/>
        </w:rPr>
        <w:t xml:space="preserve"> utilice dicha denominación como estrategia comercial para el ofrecimiento del portafolio</w:t>
      </w:r>
      <w:r w:rsidR="003331B5" w:rsidRPr="00DF7495">
        <w:rPr>
          <w:lang w:val="es-CO"/>
        </w:rPr>
        <w:t>,</w:t>
      </w:r>
      <w:r w:rsidR="00673367" w:rsidRPr="00DF7495">
        <w:rPr>
          <w:lang w:val="es-CO"/>
        </w:rPr>
        <w:t xml:space="preserve"> </w:t>
      </w:r>
      <w:r w:rsidR="008668A4" w:rsidRPr="00DF7495">
        <w:rPr>
          <w:lang w:val="es-CO"/>
        </w:rPr>
        <w:t>la sociedad administradora</w:t>
      </w:r>
      <w:r w:rsidR="00673367" w:rsidRPr="00DF7495">
        <w:rPr>
          <w:lang w:val="es-CO" w:eastAsia="es-ES"/>
        </w:rPr>
        <w:t xml:space="preserve"> deber</w:t>
      </w:r>
      <w:r w:rsidR="008668A4" w:rsidRPr="00DF7495">
        <w:rPr>
          <w:lang w:val="es-CO" w:eastAsia="es-ES"/>
        </w:rPr>
        <w:t>á</w:t>
      </w:r>
      <w:r w:rsidRPr="00DF7495">
        <w:rPr>
          <w:lang w:val="es-CO" w:eastAsia="es-ES"/>
        </w:rPr>
        <w:t xml:space="preserve"> justificar de manera clara la asignación de </w:t>
      </w:r>
      <w:r w:rsidR="00673367" w:rsidRPr="00DF7495">
        <w:rPr>
          <w:lang w:val="es-CO" w:eastAsia="es-ES"/>
        </w:rPr>
        <w:t>es</w:t>
      </w:r>
      <w:r w:rsidR="00BB7DDE" w:rsidRPr="00DF7495">
        <w:rPr>
          <w:lang w:val="es-CO" w:eastAsia="es-ES"/>
        </w:rPr>
        <w:t>t</w:t>
      </w:r>
      <w:r w:rsidR="00673367" w:rsidRPr="00DF7495">
        <w:rPr>
          <w:lang w:val="es-CO" w:eastAsia="es-ES"/>
        </w:rPr>
        <w:t>a</w:t>
      </w:r>
      <w:r w:rsidRPr="00DF7495">
        <w:rPr>
          <w:lang w:val="es-CO" w:eastAsia="es-ES"/>
        </w:rPr>
        <w:t xml:space="preserve"> denominación</w:t>
      </w:r>
      <w:r w:rsidR="002944FF" w:rsidRPr="00DF7495">
        <w:rPr>
          <w:lang w:val="es-CO" w:eastAsia="es-ES"/>
        </w:rPr>
        <w:t xml:space="preserve">, </w:t>
      </w:r>
      <w:r w:rsidR="00F342CA" w:rsidRPr="00DF7495">
        <w:rPr>
          <w:lang w:val="es-CO" w:eastAsia="es-ES"/>
        </w:rPr>
        <w:t>incluyendo</w:t>
      </w:r>
      <w:r w:rsidR="00216ECC" w:rsidRPr="00DF7495">
        <w:rPr>
          <w:lang w:val="es-CO" w:eastAsia="es-ES"/>
        </w:rPr>
        <w:t xml:space="preserve"> la explicación de</w:t>
      </w:r>
      <w:r w:rsidRPr="00DF7495">
        <w:rPr>
          <w:lang w:val="es-CO" w:eastAsia="es-ES"/>
        </w:rPr>
        <w:t xml:space="preserve"> las estrategias utilizadas</w:t>
      </w:r>
      <w:r w:rsidR="00E05EC9" w:rsidRPr="00DF7495">
        <w:rPr>
          <w:lang w:val="es-CO" w:eastAsia="es-ES"/>
        </w:rPr>
        <w:t>.</w:t>
      </w:r>
      <w:r w:rsidRPr="00DF7495">
        <w:rPr>
          <w:lang w:val="es-CO" w:eastAsia="es-ES"/>
        </w:rPr>
        <w:t xml:space="preserve"> </w:t>
      </w:r>
      <w:r w:rsidR="0073610B" w:rsidRPr="00DF7495">
        <w:rPr>
          <w:lang w:val="es-CO"/>
        </w:rPr>
        <w:t xml:space="preserve">Sin perjuicio de lo anterior, la integración de </w:t>
      </w:r>
      <w:r w:rsidR="009E61C2" w:rsidRPr="00DF7495">
        <w:rPr>
          <w:lang w:val="es-CO"/>
        </w:rPr>
        <w:t xml:space="preserve">riesgos </w:t>
      </w:r>
      <w:r w:rsidR="0073610B" w:rsidRPr="00DF7495">
        <w:rPr>
          <w:lang w:val="es-CO"/>
        </w:rPr>
        <w:t>ASG y climáticos no es suficiente para justificar la denominación.</w:t>
      </w:r>
    </w:p>
    <w:p w14:paraId="65EAE627" w14:textId="77777777" w:rsidR="000D798D" w:rsidRPr="00DF7495" w:rsidRDefault="000D798D" w:rsidP="007C1418">
      <w:pPr>
        <w:pStyle w:val="Ttulo3"/>
        <w:numPr>
          <w:ilvl w:val="0"/>
          <w:numId w:val="0"/>
        </w:numPr>
        <w:pBdr>
          <w:left w:val="single" w:sz="4" w:space="1" w:color="auto"/>
        </w:pBdr>
        <w:rPr>
          <w:lang w:val="es-CO"/>
        </w:rPr>
      </w:pPr>
    </w:p>
    <w:p w14:paraId="791635D8" w14:textId="0EB55760" w:rsidR="00F71BB0" w:rsidRPr="00DF7495" w:rsidRDefault="00DC465C" w:rsidP="00642C13">
      <w:pPr>
        <w:pStyle w:val="Ttulo3"/>
        <w:pBdr>
          <w:left w:val="single" w:sz="4" w:space="1" w:color="auto"/>
        </w:pBdr>
        <w:rPr>
          <w:lang w:val="es-CO"/>
        </w:rPr>
      </w:pPr>
      <w:r w:rsidRPr="00DF7495">
        <w:rPr>
          <w:lang w:val="es-CO"/>
        </w:rPr>
        <w:t xml:space="preserve">Información </w:t>
      </w:r>
      <w:r w:rsidR="00864F6D" w:rsidRPr="00DF7495">
        <w:rPr>
          <w:lang w:val="es-CO"/>
        </w:rPr>
        <w:t>económica del portafolio</w:t>
      </w:r>
    </w:p>
    <w:p w14:paraId="5DE5BD1D" w14:textId="5194E710" w:rsidR="00261ABA" w:rsidRPr="00DF7495" w:rsidRDefault="00261ABA" w:rsidP="00642C13">
      <w:pPr>
        <w:pBdr>
          <w:left w:val="single" w:sz="4" w:space="1" w:color="auto"/>
        </w:pBdr>
        <w:rPr>
          <w:lang w:val="es-CO" w:eastAsia="es-ES"/>
        </w:rPr>
      </w:pPr>
    </w:p>
    <w:p w14:paraId="58712F5F" w14:textId="18C88AD3" w:rsidR="00261ABA" w:rsidRPr="00DF7495" w:rsidRDefault="00261ABA" w:rsidP="00642C13">
      <w:pPr>
        <w:pBdr>
          <w:left w:val="single" w:sz="4" w:space="1" w:color="auto"/>
        </w:pBdr>
        <w:rPr>
          <w:lang w:val="es-CO" w:eastAsia="es-ES"/>
        </w:rPr>
      </w:pPr>
      <w:r w:rsidRPr="00DF7495">
        <w:rPr>
          <w:lang w:val="es-CO" w:eastAsia="es-ES"/>
        </w:rPr>
        <w:t>La sociedad administradora deberá incluir la informació</w:t>
      </w:r>
      <w:r w:rsidR="008D2DE7" w:rsidRPr="00DF7495">
        <w:rPr>
          <w:lang w:val="es-CO" w:eastAsia="es-ES"/>
        </w:rPr>
        <w:t xml:space="preserve">n </w:t>
      </w:r>
      <w:r w:rsidR="006D754C" w:rsidRPr="00DF7495">
        <w:rPr>
          <w:lang w:val="es-CO" w:eastAsia="es-ES"/>
        </w:rPr>
        <w:t>sobre</w:t>
      </w:r>
      <w:r w:rsidR="008D2DE7" w:rsidRPr="00DF7495">
        <w:rPr>
          <w:lang w:val="es-CO" w:eastAsia="es-ES"/>
        </w:rPr>
        <w:t xml:space="preserve"> las comisiones y gastos del portafolio</w:t>
      </w:r>
      <w:r w:rsidR="000E3933" w:rsidRPr="00DF7495">
        <w:rPr>
          <w:lang w:val="es-CO" w:eastAsia="es-ES"/>
        </w:rPr>
        <w:t>, en los términos que se establecen a continuación</w:t>
      </w:r>
      <w:r w:rsidR="00973883" w:rsidRPr="00DF7495">
        <w:rPr>
          <w:lang w:val="es-CO" w:eastAsia="es-ES"/>
        </w:rPr>
        <w:t>:</w:t>
      </w:r>
    </w:p>
    <w:p w14:paraId="237A8DD4" w14:textId="2F9FD0AA" w:rsidR="00864F6D" w:rsidRPr="00DF7495" w:rsidRDefault="00864F6D" w:rsidP="00642C13">
      <w:pPr>
        <w:pBdr>
          <w:left w:val="single" w:sz="4" w:space="1" w:color="auto"/>
        </w:pBdr>
        <w:rPr>
          <w:lang w:val="es-CO" w:eastAsia="es-ES"/>
        </w:rPr>
      </w:pPr>
    </w:p>
    <w:p w14:paraId="2114CAA6" w14:textId="3F2A12ED" w:rsidR="00864F6D" w:rsidRPr="006E0147" w:rsidRDefault="006D754C" w:rsidP="00642C13">
      <w:pPr>
        <w:pStyle w:val="Ttulo4"/>
        <w:pBdr>
          <w:left w:val="single" w:sz="4" w:space="1" w:color="auto"/>
        </w:pBdr>
        <w:ind w:left="0"/>
        <w:rPr>
          <w:lang w:val="es-CO"/>
        </w:rPr>
      </w:pPr>
      <w:r w:rsidRPr="002D5DE4">
        <w:rPr>
          <w:lang w:val="es-CO"/>
        </w:rPr>
        <w:t>Una r</w:t>
      </w:r>
      <w:r w:rsidR="00153238" w:rsidRPr="002D5DE4">
        <w:rPr>
          <w:lang w:val="es-CO"/>
        </w:rPr>
        <w:t xml:space="preserve">elación pormenorizada </w:t>
      </w:r>
      <w:r w:rsidR="00713E52" w:rsidRPr="002D5DE4">
        <w:rPr>
          <w:lang w:val="es-CO"/>
        </w:rPr>
        <w:t xml:space="preserve">de las comisiones fijas y las comisiones variables que se </w:t>
      </w:r>
      <w:r w:rsidR="00D83F42" w:rsidRPr="002D5DE4">
        <w:rPr>
          <w:lang w:val="es-CO"/>
        </w:rPr>
        <w:t>cobrarán</w:t>
      </w:r>
      <w:r w:rsidR="00713E52" w:rsidRPr="002D5DE4">
        <w:rPr>
          <w:lang w:val="es-CO"/>
        </w:rPr>
        <w:t xml:space="preserve"> </w:t>
      </w:r>
      <w:r w:rsidR="003D166C" w:rsidRPr="002D5DE4">
        <w:rPr>
          <w:lang w:val="es-CO"/>
        </w:rPr>
        <w:t>en</w:t>
      </w:r>
      <w:r w:rsidR="00DD3EE7" w:rsidRPr="002D5DE4">
        <w:rPr>
          <w:lang w:val="es-CO"/>
        </w:rPr>
        <w:t xml:space="preserve"> el respectivo portafolio, especificando los parámetros que se utilizarán </w:t>
      </w:r>
      <w:r w:rsidR="00F06B9F" w:rsidRPr="002D5DE4">
        <w:rPr>
          <w:lang w:val="es-CO"/>
        </w:rPr>
        <w:t xml:space="preserve">para determinar las comisiones efectivamente cobradas. </w:t>
      </w:r>
      <w:r w:rsidR="00F06B9F" w:rsidRPr="006E0147">
        <w:rPr>
          <w:lang w:val="es-CO"/>
        </w:rPr>
        <w:t xml:space="preserve">Dicha información debe ser suficiente para que el </w:t>
      </w:r>
      <w:r w:rsidR="00801879" w:rsidRPr="006E0147">
        <w:rPr>
          <w:lang w:val="es-CO"/>
        </w:rPr>
        <w:t>part</w:t>
      </w:r>
      <w:r w:rsidR="00973E25" w:rsidRPr="006E0147">
        <w:rPr>
          <w:lang w:val="es-CO"/>
        </w:rPr>
        <w:t>í</w:t>
      </w:r>
      <w:r w:rsidR="00801879" w:rsidRPr="006E0147">
        <w:rPr>
          <w:lang w:val="es-CO"/>
        </w:rPr>
        <w:t>cipe</w:t>
      </w:r>
      <w:r w:rsidR="00F06B9F" w:rsidRPr="006E0147">
        <w:rPr>
          <w:lang w:val="es-CO"/>
        </w:rPr>
        <w:t xml:space="preserve"> identifique la comisión </w:t>
      </w:r>
      <w:r w:rsidR="00410989" w:rsidRPr="006E0147">
        <w:rPr>
          <w:lang w:val="es-CO"/>
        </w:rPr>
        <w:t>que se le cobrará a partir de su adhesión y en cualquier momento posterior.</w:t>
      </w:r>
      <w:r w:rsidR="007B7820" w:rsidRPr="006E0147">
        <w:rPr>
          <w:lang w:val="es-CO"/>
        </w:rPr>
        <w:t xml:space="preserve"> </w:t>
      </w:r>
    </w:p>
    <w:p w14:paraId="3ECBB4E5" w14:textId="77777777" w:rsidR="007B7820" w:rsidRPr="006E0147" w:rsidRDefault="007B7820" w:rsidP="00642C13">
      <w:pPr>
        <w:pBdr>
          <w:left w:val="single" w:sz="4" w:space="1" w:color="auto"/>
        </w:pBdr>
        <w:rPr>
          <w:lang w:val="es-CO" w:eastAsia="es-ES"/>
        </w:rPr>
      </w:pPr>
    </w:p>
    <w:p w14:paraId="7886C1AA" w14:textId="5F5C8D17" w:rsidR="007B7820" w:rsidRPr="002D5DE4" w:rsidRDefault="007B7820" w:rsidP="00642C13">
      <w:pPr>
        <w:pBdr>
          <w:left w:val="single" w:sz="4" w:space="1" w:color="auto"/>
        </w:pBdr>
        <w:rPr>
          <w:lang w:val="es-CO" w:eastAsia="es-ES"/>
        </w:rPr>
      </w:pPr>
      <w:r w:rsidRPr="006E0147">
        <w:rPr>
          <w:lang w:val="es-CO" w:eastAsia="es-ES"/>
        </w:rPr>
        <w:t xml:space="preserve">En todo caso, </w:t>
      </w:r>
      <w:r w:rsidR="00D6239D" w:rsidRPr="006E0147">
        <w:rPr>
          <w:lang w:val="es-CO" w:eastAsia="es-ES"/>
        </w:rPr>
        <w:t xml:space="preserve">la sociedad administradora debe advertir </w:t>
      </w:r>
      <w:r w:rsidR="002A5EB0" w:rsidRPr="006E0147">
        <w:rPr>
          <w:lang w:val="es-CO" w:eastAsia="es-ES"/>
        </w:rPr>
        <w:t xml:space="preserve">que, atendiendo a las condiciones particulares de cada partícipe, el cobro de comisiones </w:t>
      </w:r>
      <w:r w:rsidR="000D183F" w:rsidRPr="006E0147">
        <w:rPr>
          <w:lang w:val="es-CO" w:eastAsia="es-ES"/>
        </w:rPr>
        <w:t>puede</w:t>
      </w:r>
      <w:r w:rsidR="000D1359" w:rsidRPr="006E0147">
        <w:rPr>
          <w:lang w:val="es-CO" w:eastAsia="es-ES"/>
        </w:rPr>
        <w:t xml:space="preserve"> realizar</w:t>
      </w:r>
      <w:r w:rsidR="000D183F" w:rsidRPr="006E0147">
        <w:rPr>
          <w:lang w:val="es-CO" w:eastAsia="es-ES"/>
        </w:rPr>
        <w:t>se</w:t>
      </w:r>
      <w:r w:rsidR="000D1359" w:rsidRPr="006E0147">
        <w:rPr>
          <w:lang w:val="es-CO" w:eastAsia="es-ES"/>
        </w:rPr>
        <w:t xml:space="preserve"> a nivel de la alternativa seleccionada.</w:t>
      </w:r>
    </w:p>
    <w:p w14:paraId="550D1BAC" w14:textId="72EB7265" w:rsidR="00410989" w:rsidRPr="00DF7495" w:rsidRDefault="00410989" w:rsidP="00642C13">
      <w:pPr>
        <w:pBdr>
          <w:left w:val="single" w:sz="4" w:space="1" w:color="auto"/>
        </w:pBdr>
        <w:rPr>
          <w:lang w:val="es-CO" w:eastAsia="es-ES"/>
        </w:rPr>
      </w:pPr>
    </w:p>
    <w:p w14:paraId="4D906F85" w14:textId="6CD22A7B" w:rsidR="00F37D6B" w:rsidRPr="00DF7495" w:rsidRDefault="00973E25" w:rsidP="00642C13">
      <w:pPr>
        <w:pStyle w:val="Ttulo4"/>
        <w:pBdr>
          <w:left w:val="single" w:sz="4" w:space="1" w:color="auto"/>
        </w:pBdr>
        <w:ind w:left="0"/>
        <w:rPr>
          <w:lang w:val="es-CO"/>
        </w:rPr>
      </w:pPr>
      <w:r w:rsidRPr="00DF7495">
        <w:rPr>
          <w:lang w:val="es-CO"/>
        </w:rPr>
        <w:t>Una r</w:t>
      </w:r>
      <w:r w:rsidR="00F52FBB" w:rsidRPr="00DF7495">
        <w:rPr>
          <w:lang w:val="es-CO"/>
        </w:rPr>
        <w:t>elación de los</w:t>
      </w:r>
      <w:r w:rsidR="0043054F" w:rsidRPr="00DF7495">
        <w:rPr>
          <w:lang w:val="es-CO"/>
        </w:rPr>
        <w:t xml:space="preserve"> gastos </w:t>
      </w:r>
      <w:r w:rsidR="00E13238" w:rsidRPr="00DF7495">
        <w:rPr>
          <w:lang w:val="es-CO"/>
        </w:rPr>
        <w:t>asociados al</w:t>
      </w:r>
      <w:r w:rsidR="004E4051" w:rsidRPr="00DF7495">
        <w:rPr>
          <w:lang w:val="es-CO"/>
        </w:rPr>
        <w:t xml:space="preserve"> funcionamiento y </w:t>
      </w:r>
      <w:r w:rsidR="004038C0" w:rsidRPr="00DF7495">
        <w:rPr>
          <w:lang w:val="es-CO"/>
        </w:rPr>
        <w:t xml:space="preserve">gestión del </w:t>
      </w:r>
      <w:r w:rsidR="002F04FE" w:rsidRPr="00DF7495">
        <w:rPr>
          <w:lang w:val="es-CO"/>
        </w:rPr>
        <w:t xml:space="preserve">respectivo </w:t>
      </w:r>
      <w:r w:rsidR="004038C0" w:rsidRPr="00DF7495">
        <w:rPr>
          <w:lang w:val="es-CO"/>
        </w:rPr>
        <w:t>portafolio</w:t>
      </w:r>
      <w:r w:rsidR="00FA7F3C" w:rsidRPr="00DF7495">
        <w:rPr>
          <w:lang w:val="es-CO"/>
        </w:rPr>
        <w:t xml:space="preserve"> que puedan afectar la rentabilidad del portafolio</w:t>
      </w:r>
      <w:r w:rsidR="0059644A" w:rsidRPr="00DF7495">
        <w:rPr>
          <w:lang w:val="es-CO"/>
        </w:rPr>
        <w:t xml:space="preserve"> y que no se encuentren incluidos en el reglamento de funcionamiento</w:t>
      </w:r>
      <w:r w:rsidR="004038C0" w:rsidRPr="00DF7495">
        <w:rPr>
          <w:lang w:val="es-CO"/>
        </w:rPr>
        <w:t xml:space="preserve">. </w:t>
      </w:r>
    </w:p>
    <w:p w14:paraId="15B7F6AC" w14:textId="77777777" w:rsidR="004038C0" w:rsidRPr="00DF7495" w:rsidRDefault="004038C0" w:rsidP="00642C13">
      <w:pPr>
        <w:pBdr>
          <w:left w:val="single" w:sz="4" w:space="1" w:color="auto"/>
        </w:pBdr>
        <w:rPr>
          <w:lang w:val="es-CO" w:eastAsia="es-ES"/>
        </w:rPr>
      </w:pPr>
    </w:p>
    <w:p w14:paraId="18CD8BE9" w14:textId="7847BF1B" w:rsidR="00DD1A0C" w:rsidRPr="00DF7495" w:rsidRDefault="00F62C2B" w:rsidP="00642C13">
      <w:pPr>
        <w:pStyle w:val="Ttulo3"/>
        <w:pBdr>
          <w:left w:val="single" w:sz="4" w:space="1" w:color="auto"/>
        </w:pBdr>
        <w:rPr>
          <w:lang w:val="es-CO"/>
        </w:rPr>
      </w:pPr>
      <w:r w:rsidRPr="00DF7495">
        <w:rPr>
          <w:lang w:val="es-CO"/>
        </w:rPr>
        <w:t>Información operativa del portafolio</w:t>
      </w:r>
    </w:p>
    <w:p w14:paraId="737B5FDF" w14:textId="5F19F1F5" w:rsidR="00272BB2" w:rsidRPr="00DF7495" w:rsidRDefault="00272BB2" w:rsidP="00642C13">
      <w:pPr>
        <w:pBdr>
          <w:left w:val="single" w:sz="4" w:space="1" w:color="auto"/>
        </w:pBdr>
        <w:rPr>
          <w:lang w:val="es-CO" w:eastAsia="es-ES"/>
        </w:rPr>
      </w:pPr>
    </w:p>
    <w:p w14:paraId="01643F44" w14:textId="15B255A7" w:rsidR="00272BB2" w:rsidRPr="00DF7495" w:rsidRDefault="00272BB2" w:rsidP="00642C13">
      <w:pPr>
        <w:pBdr>
          <w:left w:val="single" w:sz="4" w:space="1" w:color="auto"/>
        </w:pBdr>
        <w:rPr>
          <w:lang w:val="es-CO" w:eastAsia="es-ES"/>
        </w:rPr>
      </w:pPr>
      <w:r w:rsidRPr="00DF7495">
        <w:rPr>
          <w:lang w:val="es-CO" w:eastAsia="es-ES"/>
        </w:rPr>
        <w:t>La s</w:t>
      </w:r>
      <w:r w:rsidR="00A97C19" w:rsidRPr="00DF7495">
        <w:rPr>
          <w:lang w:val="es-CO" w:eastAsia="es-ES"/>
        </w:rPr>
        <w:t xml:space="preserve">ociedad administradora deberá </w:t>
      </w:r>
      <w:r w:rsidR="00532DA0" w:rsidRPr="00DF7495">
        <w:rPr>
          <w:lang w:val="es-CO" w:eastAsia="es-ES"/>
        </w:rPr>
        <w:t>incluir</w:t>
      </w:r>
      <w:r w:rsidR="00A97C19" w:rsidRPr="00DF7495">
        <w:rPr>
          <w:lang w:val="es-CO" w:eastAsia="es-ES"/>
        </w:rPr>
        <w:t xml:space="preserve"> la siguiente información operativa del portafolio:</w:t>
      </w:r>
    </w:p>
    <w:p w14:paraId="6AEC6D3E" w14:textId="77777777" w:rsidR="00151721" w:rsidRPr="00DF7495" w:rsidRDefault="00151721" w:rsidP="00642C13">
      <w:pPr>
        <w:pBdr>
          <w:left w:val="single" w:sz="4" w:space="1" w:color="auto"/>
        </w:pBdr>
        <w:rPr>
          <w:lang w:val="es-CO" w:eastAsia="es-ES"/>
        </w:rPr>
      </w:pPr>
    </w:p>
    <w:p w14:paraId="42DA0D18" w14:textId="77268016" w:rsidR="00FD0E19" w:rsidRPr="00DF7495" w:rsidRDefault="00561987" w:rsidP="00642C13">
      <w:pPr>
        <w:pStyle w:val="Ttulo4"/>
        <w:pBdr>
          <w:left w:val="single" w:sz="4" w:space="1" w:color="auto"/>
        </w:pBdr>
        <w:ind w:left="0"/>
        <w:rPr>
          <w:lang w:val="es-CO"/>
        </w:rPr>
      </w:pPr>
      <w:r w:rsidRPr="00DF7495">
        <w:rPr>
          <w:lang w:val="es-CO"/>
        </w:rPr>
        <w:t>Procedimiento</w:t>
      </w:r>
      <w:r w:rsidR="000D15D7" w:rsidRPr="00DF7495">
        <w:rPr>
          <w:lang w:val="es-CO"/>
        </w:rPr>
        <w:t xml:space="preserve"> y requisitos para la constitución</w:t>
      </w:r>
      <w:r w:rsidR="00737F04" w:rsidRPr="00DF7495">
        <w:rPr>
          <w:lang w:val="es-CO"/>
        </w:rPr>
        <w:t xml:space="preserve"> y redención de unidades de participación</w:t>
      </w:r>
      <w:r w:rsidR="000D15D7" w:rsidRPr="00DF7495">
        <w:rPr>
          <w:lang w:val="es-CO"/>
        </w:rPr>
        <w:t xml:space="preserve"> en el</w:t>
      </w:r>
      <w:r w:rsidR="00F40045" w:rsidRPr="00DF7495">
        <w:rPr>
          <w:lang w:val="es-CO"/>
        </w:rPr>
        <w:t xml:space="preserve"> portafolio</w:t>
      </w:r>
      <w:r w:rsidR="005B6A8A" w:rsidRPr="00DF7495">
        <w:rPr>
          <w:lang w:val="es-CO"/>
        </w:rPr>
        <w:t>.</w:t>
      </w:r>
    </w:p>
    <w:p w14:paraId="6E6ACA05" w14:textId="77777777" w:rsidR="00CE11A0" w:rsidRPr="00DF7495" w:rsidRDefault="00CE11A0" w:rsidP="00642C13">
      <w:pPr>
        <w:pBdr>
          <w:left w:val="single" w:sz="4" w:space="1" w:color="auto"/>
        </w:pBdr>
        <w:rPr>
          <w:lang w:val="es-CO" w:eastAsia="es-ES"/>
        </w:rPr>
      </w:pPr>
    </w:p>
    <w:p w14:paraId="6D7086C2" w14:textId="1B0CBE43" w:rsidR="00CE11A0" w:rsidRPr="00DF7495" w:rsidRDefault="00EC235B" w:rsidP="00642C13">
      <w:pPr>
        <w:pStyle w:val="Ttulo4"/>
        <w:pBdr>
          <w:left w:val="single" w:sz="4" w:space="1" w:color="auto"/>
        </w:pBdr>
        <w:ind w:left="0"/>
        <w:rPr>
          <w:lang w:val="es-CO"/>
        </w:rPr>
      </w:pPr>
      <w:r w:rsidRPr="00DF7495">
        <w:rPr>
          <w:lang w:val="es-CO"/>
        </w:rPr>
        <w:t>Redención parcial y anticipada de unidades de participación.</w:t>
      </w:r>
      <w:r w:rsidR="00CE11A0" w:rsidRPr="00DF7495">
        <w:rPr>
          <w:lang w:val="es-CO"/>
        </w:rPr>
        <w:t xml:space="preserve"> En caso</w:t>
      </w:r>
      <w:r w:rsidR="00D327D2" w:rsidRPr="00DF7495">
        <w:rPr>
          <w:lang w:val="es-CO"/>
        </w:rPr>
        <w:t xml:space="preserve"> de</w:t>
      </w:r>
      <w:r w:rsidR="00CE11A0" w:rsidRPr="00DF7495">
        <w:rPr>
          <w:lang w:val="es-CO"/>
        </w:rPr>
        <w:t xml:space="preserve"> que el </w:t>
      </w:r>
      <w:r w:rsidR="00906190" w:rsidRPr="00DF7495">
        <w:rPr>
          <w:lang w:val="es-CO"/>
        </w:rPr>
        <w:t xml:space="preserve">portafolio </w:t>
      </w:r>
      <w:r w:rsidR="00CE11A0" w:rsidRPr="00DF7495">
        <w:rPr>
          <w:lang w:val="es-CO"/>
        </w:rPr>
        <w:t>tenga un pacto de permanencia, se debe indicar la sanción por retiro anticipado.</w:t>
      </w:r>
    </w:p>
    <w:p w14:paraId="1A8AB49B" w14:textId="77777777" w:rsidR="00525203" w:rsidRPr="00DF7495" w:rsidRDefault="00525203" w:rsidP="00642C13">
      <w:pPr>
        <w:pBdr>
          <w:left w:val="single" w:sz="4" w:space="1" w:color="auto"/>
        </w:pBdr>
        <w:rPr>
          <w:lang w:val="es-CO" w:eastAsia="es-ES"/>
        </w:rPr>
      </w:pPr>
    </w:p>
    <w:p w14:paraId="6BBABB82" w14:textId="7D479262" w:rsidR="006F5A8E" w:rsidRPr="00DF7495" w:rsidRDefault="00604A01" w:rsidP="00642C13">
      <w:pPr>
        <w:pStyle w:val="Ttulo4"/>
        <w:pBdr>
          <w:left w:val="single" w:sz="4" w:space="1" w:color="auto"/>
        </w:pBdr>
        <w:ind w:left="0"/>
        <w:rPr>
          <w:rFonts w:cs="Arial"/>
          <w:szCs w:val="16"/>
          <w:lang w:val="es-CO"/>
        </w:rPr>
      </w:pPr>
      <w:r w:rsidRPr="00DF7495">
        <w:rPr>
          <w:rFonts w:cs="Arial"/>
          <w:szCs w:val="16"/>
          <w:lang w:val="es-CO"/>
        </w:rPr>
        <w:t>Canales de atención disponibles para atender</w:t>
      </w:r>
      <w:r w:rsidR="006F5A8E" w:rsidRPr="00DF7495">
        <w:rPr>
          <w:rFonts w:cs="Arial"/>
          <w:szCs w:val="16"/>
          <w:lang w:val="es-CO"/>
        </w:rPr>
        <w:t xml:space="preserve"> </w:t>
      </w:r>
      <w:r w:rsidR="00600263" w:rsidRPr="00DF7495">
        <w:rPr>
          <w:rFonts w:cs="Arial"/>
          <w:szCs w:val="16"/>
          <w:lang w:val="es-CO"/>
        </w:rPr>
        <w:t xml:space="preserve">a </w:t>
      </w:r>
      <w:r w:rsidR="006F5A8E" w:rsidRPr="00DF7495">
        <w:rPr>
          <w:rFonts w:cs="Arial"/>
          <w:szCs w:val="16"/>
          <w:lang w:val="es-CO"/>
        </w:rPr>
        <w:t>los partícipes y entidades patrocinador</w:t>
      </w:r>
      <w:r w:rsidR="00625B15" w:rsidRPr="00DF7495">
        <w:rPr>
          <w:rFonts w:cs="Arial"/>
          <w:szCs w:val="16"/>
          <w:lang w:val="es-CO"/>
        </w:rPr>
        <w:t>a</w:t>
      </w:r>
      <w:r w:rsidR="006F5A8E" w:rsidRPr="00DF7495">
        <w:rPr>
          <w:rFonts w:cs="Arial"/>
          <w:szCs w:val="16"/>
          <w:lang w:val="es-CO"/>
        </w:rPr>
        <w:t>s</w:t>
      </w:r>
      <w:r w:rsidR="00F32191" w:rsidRPr="00DF7495">
        <w:rPr>
          <w:rFonts w:cs="Arial"/>
          <w:szCs w:val="16"/>
          <w:lang w:val="es-CO"/>
        </w:rPr>
        <w:t xml:space="preserve">, incluyendo la </w:t>
      </w:r>
      <w:r w:rsidR="00BA00D0" w:rsidRPr="00DF7495">
        <w:rPr>
          <w:rFonts w:cs="Arial"/>
          <w:szCs w:val="16"/>
          <w:lang w:val="es-CO"/>
        </w:rPr>
        <w:t>indicación de los</w:t>
      </w:r>
      <w:r w:rsidR="006F5A8E" w:rsidRPr="00DF7495">
        <w:rPr>
          <w:rFonts w:cs="Arial"/>
          <w:szCs w:val="16"/>
          <w:lang w:val="es-CO"/>
        </w:rPr>
        <w:t xml:space="preserve"> contratos vigentes de uso de red de oficinas y </w:t>
      </w:r>
      <w:r w:rsidR="00FD04AC" w:rsidRPr="00DF7495">
        <w:rPr>
          <w:rFonts w:cs="Arial"/>
          <w:szCs w:val="16"/>
          <w:lang w:val="es-CO"/>
        </w:rPr>
        <w:t>corresp</w:t>
      </w:r>
      <w:r w:rsidR="003005EF" w:rsidRPr="00DF7495">
        <w:rPr>
          <w:rFonts w:cs="Arial"/>
          <w:szCs w:val="16"/>
          <w:lang w:val="es-CO"/>
        </w:rPr>
        <w:t>onsalía</w:t>
      </w:r>
      <w:r w:rsidR="006F5A8E" w:rsidRPr="00DF7495">
        <w:rPr>
          <w:rFonts w:cs="Arial"/>
          <w:szCs w:val="16"/>
          <w:lang w:val="es-CO"/>
        </w:rPr>
        <w:t>, cuando a ello haya lugar.</w:t>
      </w:r>
    </w:p>
    <w:p w14:paraId="4B87FDED" w14:textId="77777777" w:rsidR="0062528E" w:rsidRPr="00DF7495" w:rsidRDefault="0062528E" w:rsidP="00642C13">
      <w:pPr>
        <w:pBdr>
          <w:left w:val="single" w:sz="4" w:space="1" w:color="auto"/>
        </w:pBdr>
        <w:rPr>
          <w:lang w:val="es-CO" w:eastAsia="es-ES"/>
        </w:rPr>
      </w:pPr>
    </w:p>
    <w:p w14:paraId="227ADBB4" w14:textId="3624863B" w:rsidR="00EB4750" w:rsidRPr="00DF7495" w:rsidRDefault="005020AE" w:rsidP="00642C13">
      <w:pPr>
        <w:pStyle w:val="Ttulo3"/>
        <w:pBdr>
          <w:left w:val="single" w:sz="4" w:space="1" w:color="auto"/>
        </w:pBdr>
        <w:rPr>
          <w:lang w:val="es-CO"/>
        </w:rPr>
      </w:pPr>
      <w:r w:rsidRPr="00DF7495">
        <w:rPr>
          <w:lang w:val="es-CO"/>
        </w:rPr>
        <w:t>Medios de reporte de información a los partícipes, entidades patrocinadoras y al público en general.</w:t>
      </w:r>
    </w:p>
    <w:p w14:paraId="6BA37F20" w14:textId="77777777" w:rsidR="00F71BB0" w:rsidRPr="00DF7495" w:rsidRDefault="00F71BB0" w:rsidP="007C1418">
      <w:pPr>
        <w:pBdr>
          <w:left w:val="single" w:sz="4" w:space="1" w:color="auto"/>
        </w:pBdr>
        <w:rPr>
          <w:lang w:val="es-CO"/>
        </w:rPr>
      </w:pPr>
    </w:p>
    <w:p w14:paraId="19EB4E3F" w14:textId="7D48D275" w:rsidR="00161F05" w:rsidRPr="00DF7495" w:rsidRDefault="00692EC3" w:rsidP="007C1418">
      <w:pPr>
        <w:pStyle w:val="Ttulo2"/>
        <w:pBdr>
          <w:left w:val="single" w:sz="4" w:space="1" w:color="auto"/>
        </w:pBdr>
        <w:rPr>
          <w:lang w:val="es-CO"/>
        </w:rPr>
      </w:pPr>
      <w:r w:rsidRPr="00DF7495">
        <w:rPr>
          <w:lang w:val="es-CO"/>
        </w:rPr>
        <w:t>Informe de rendición de cuentas de la sociedad administradora</w:t>
      </w:r>
    </w:p>
    <w:p w14:paraId="49B76223" w14:textId="77777777" w:rsidR="00552B73" w:rsidRPr="00DF7495" w:rsidRDefault="00552B73" w:rsidP="007C1418">
      <w:pPr>
        <w:pBdr>
          <w:left w:val="single" w:sz="4" w:space="1" w:color="auto"/>
        </w:pBdr>
        <w:rPr>
          <w:lang w:val="es-CO"/>
        </w:rPr>
      </w:pPr>
    </w:p>
    <w:p w14:paraId="540FC52C" w14:textId="19C4CECD" w:rsidR="005C5ED8" w:rsidRPr="00DF7495" w:rsidRDefault="00552B73" w:rsidP="007C1418">
      <w:pPr>
        <w:pBdr>
          <w:left w:val="single" w:sz="4" w:space="1" w:color="auto"/>
        </w:pBdr>
        <w:rPr>
          <w:color w:val="000000" w:themeColor="text1"/>
          <w:lang w:val="es-CO"/>
        </w:rPr>
      </w:pPr>
      <w:r w:rsidRPr="00DF7495">
        <w:rPr>
          <w:color w:val="000000" w:themeColor="text1"/>
          <w:lang w:val="es-CO"/>
        </w:rPr>
        <w:t xml:space="preserve">El informe de rendición de cuentas </w:t>
      </w:r>
      <w:r w:rsidR="0043683E" w:rsidRPr="00DF7495">
        <w:rPr>
          <w:color w:val="000000" w:themeColor="text1"/>
          <w:lang w:val="es-CO"/>
        </w:rPr>
        <w:t xml:space="preserve">es un mecanismo de </w:t>
      </w:r>
      <w:r w:rsidR="4DA08418" w:rsidRPr="00DF7495">
        <w:rPr>
          <w:color w:val="000000" w:themeColor="text1"/>
          <w:lang w:val="es-CO"/>
        </w:rPr>
        <w:t>revelación de información</w:t>
      </w:r>
      <w:r w:rsidR="64508908" w:rsidRPr="00DF7495">
        <w:rPr>
          <w:color w:val="000000" w:themeColor="text1"/>
          <w:lang w:val="es-CO"/>
        </w:rPr>
        <w:t>,</w:t>
      </w:r>
      <w:r w:rsidR="4DA08418" w:rsidRPr="00DF7495">
        <w:rPr>
          <w:color w:val="000000" w:themeColor="text1"/>
          <w:lang w:val="es-CO"/>
        </w:rPr>
        <w:t xml:space="preserve"> a través del cual la sociedad administradora provee a los </w:t>
      </w:r>
      <w:r w:rsidR="4201DD34" w:rsidRPr="00DF7495">
        <w:rPr>
          <w:color w:val="000000" w:themeColor="text1"/>
          <w:lang w:val="es-CO"/>
        </w:rPr>
        <w:t>partícipes</w:t>
      </w:r>
      <w:r w:rsidR="4DA08418" w:rsidRPr="00DF7495">
        <w:rPr>
          <w:color w:val="000000" w:themeColor="text1"/>
          <w:lang w:val="es-CO"/>
        </w:rPr>
        <w:t xml:space="preserve"> explicaciones detalladas y pormenorizadas </w:t>
      </w:r>
      <w:r w:rsidR="3B2C50C2" w:rsidRPr="00DF7495">
        <w:rPr>
          <w:color w:val="000000" w:themeColor="text1"/>
          <w:lang w:val="es-CO"/>
        </w:rPr>
        <w:t>sobre</w:t>
      </w:r>
      <w:r w:rsidR="573F4702" w:rsidRPr="00DF7495">
        <w:rPr>
          <w:color w:val="000000" w:themeColor="text1"/>
          <w:lang w:val="es-CO"/>
        </w:rPr>
        <w:t xml:space="preserve"> </w:t>
      </w:r>
      <w:r w:rsidR="4CADBD44" w:rsidRPr="00DF7495">
        <w:rPr>
          <w:color w:val="000000" w:themeColor="text1"/>
          <w:lang w:val="es-CO"/>
        </w:rPr>
        <w:t>su</w:t>
      </w:r>
      <w:r w:rsidR="573F4702" w:rsidRPr="00DF7495">
        <w:rPr>
          <w:color w:val="000000" w:themeColor="text1"/>
          <w:lang w:val="es-CO"/>
        </w:rPr>
        <w:t xml:space="preserve"> gestión y el desempeño de los portafolios</w:t>
      </w:r>
      <w:r w:rsidR="006B09D4" w:rsidRPr="00DF7495">
        <w:rPr>
          <w:color w:val="000000" w:themeColor="text1"/>
          <w:lang w:val="es-CO"/>
        </w:rPr>
        <w:t xml:space="preserve">. </w:t>
      </w:r>
      <w:r w:rsidR="004A2C39" w:rsidRPr="00DF7495">
        <w:rPr>
          <w:color w:val="000000" w:themeColor="text1"/>
          <w:lang w:val="es-CO"/>
        </w:rPr>
        <w:t>El informe</w:t>
      </w:r>
      <w:r w:rsidR="00BF40E6" w:rsidRPr="00DF7495">
        <w:rPr>
          <w:color w:val="000000" w:themeColor="text1"/>
          <w:lang w:val="es-CO"/>
        </w:rPr>
        <w:t xml:space="preserve"> de rendición de cuentas</w:t>
      </w:r>
      <w:r w:rsidR="004A2C39" w:rsidRPr="00DF7495">
        <w:rPr>
          <w:color w:val="000000" w:themeColor="text1"/>
          <w:lang w:val="es-CO"/>
        </w:rPr>
        <w:t xml:space="preserve"> </w:t>
      </w:r>
      <w:r w:rsidR="00B971B2" w:rsidRPr="00DF7495">
        <w:rPr>
          <w:color w:val="000000" w:themeColor="text1"/>
          <w:lang w:val="es-CO"/>
        </w:rPr>
        <w:t>debe seguir los principios generales de revelación de</w:t>
      </w:r>
      <w:r w:rsidR="008C5369" w:rsidRPr="00DF7495">
        <w:rPr>
          <w:color w:val="000000" w:themeColor="text1"/>
          <w:lang w:val="es-CO"/>
        </w:rPr>
        <w:t xml:space="preserve"> informa</w:t>
      </w:r>
      <w:r w:rsidR="005E6226" w:rsidRPr="00DF7495">
        <w:rPr>
          <w:color w:val="000000" w:themeColor="text1"/>
          <w:lang w:val="es-CO"/>
        </w:rPr>
        <w:t>ción</w:t>
      </w:r>
      <w:r w:rsidR="008C5369" w:rsidRPr="00DF7495">
        <w:rPr>
          <w:color w:val="000000" w:themeColor="text1"/>
          <w:lang w:val="es-CO"/>
        </w:rPr>
        <w:t xml:space="preserve"> </w:t>
      </w:r>
      <w:r w:rsidR="00BA7C98" w:rsidRPr="00DF7495">
        <w:rPr>
          <w:color w:val="000000" w:themeColor="text1"/>
          <w:lang w:val="es-CO"/>
        </w:rPr>
        <w:t>establecido</w:t>
      </w:r>
      <w:r w:rsidR="005706E9" w:rsidRPr="00DF7495">
        <w:rPr>
          <w:color w:val="000000" w:themeColor="text1"/>
          <w:lang w:val="es-CO"/>
        </w:rPr>
        <w:t>s</w:t>
      </w:r>
      <w:r w:rsidR="00963BE9" w:rsidRPr="00DF7495">
        <w:rPr>
          <w:color w:val="000000" w:themeColor="text1"/>
          <w:lang w:val="es-CO"/>
        </w:rPr>
        <w:t xml:space="preserve"> en el </w:t>
      </w:r>
      <w:proofErr w:type="spellStart"/>
      <w:r w:rsidR="00BA7C98" w:rsidRPr="00DF7495">
        <w:rPr>
          <w:color w:val="000000" w:themeColor="text1"/>
          <w:lang w:val="es-CO"/>
        </w:rPr>
        <w:t>subnumeral</w:t>
      </w:r>
      <w:proofErr w:type="spellEnd"/>
      <w:r w:rsidR="00963BE9" w:rsidRPr="00DF7495">
        <w:rPr>
          <w:color w:val="000000" w:themeColor="text1"/>
          <w:lang w:val="es-CO"/>
        </w:rPr>
        <w:t xml:space="preserve"> </w:t>
      </w:r>
      <w:r w:rsidR="005E6226" w:rsidRPr="00DF7495">
        <w:rPr>
          <w:color w:val="000000" w:themeColor="text1"/>
          <w:lang w:val="es-CO"/>
        </w:rPr>
        <w:fldChar w:fldCharType="begin"/>
      </w:r>
      <w:r w:rsidR="005E6226" w:rsidRPr="00DF7495">
        <w:rPr>
          <w:color w:val="000000" w:themeColor="text1"/>
          <w:lang w:val="es-CO"/>
        </w:rPr>
        <w:instrText xml:space="preserve"> REF _Ref62032950 \r \h </w:instrText>
      </w:r>
      <w:r w:rsidR="003B7327" w:rsidRPr="00DF7495">
        <w:rPr>
          <w:color w:val="000000" w:themeColor="text1"/>
          <w:lang w:val="es-CO"/>
        </w:rPr>
        <w:instrText xml:space="preserve"> \* MERGEFORMAT </w:instrText>
      </w:r>
      <w:r w:rsidR="005E6226" w:rsidRPr="00DF7495">
        <w:rPr>
          <w:color w:val="000000" w:themeColor="text1"/>
          <w:lang w:val="es-CO"/>
        </w:rPr>
      </w:r>
      <w:r w:rsidR="005E6226" w:rsidRPr="00DF7495">
        <w:rPr>
          <w:color w:val="000000" w:themeColor="text1"/>
          <w:lang w:val="es-CO"/>
        </w:rPr>
        <w:fldChar w:fldCharType="separate"/>
      </w:r>
      <w:r w:rsidR="004E2702" w:rsidRPr="00DF7495">
        <w:rPr>
          <w:color w:val="000000" w:themeColor="text1"/>
          <w:lang w:val="es-CO"/>
        </w:rPr>
        <w:t>5.1</w:t>
      </w:r>
      <w:r w:rsidR="005E6226" w:rsidRPr="00DF7495">
        <w:rPr>
          <w:color w:val="000000" w:themeColor="text1"/>
          <w:lang w:val="es-CO"/>
        </w:rPr>
        <w:fldChar w:fldCharType="end"/>
      </w:r>
      <w:r w:rsidR="005E6226" w:rsidRPr="00DF7495">
        <w:rPr>
          <w:color w:val="000000" w:themeColor="text1"/>
          <w:lang w:val="es-CO"/>
        </w:rPr>
        <w:t xml:space="preserve"> </w:t>
      </w:r>
      <w:r w:rsidR="007A5498" w:rsidRPr="00DF7495">
        <w:rPr>
          <w:color w:val="000000" w:themeColor="text1"/>
          <w:lang w:val="es-CO"/>
        </w:rPr>
        <w:t>del presente Capítulo</w:t>
      </w:r>
      <w:r w:rsidR="00BA7C98" w:rsidRPr="00DF7495">
        <w:rPr>
          <w:color w:val="000000" w:themeColor="text1"/>
          <w:lang w:val="es-CO"/>
        </w:rPr>
        <w:t xml:space="preserve"> </w:t>
      </w:r>
      <w:r w:rsidR="008C5369" w:rsidRPr="00DF7495">
        <w:rPr>
          <w:color w:val="000000" w:themeColor="text1"/>
          <w:lang w:val="es-CO"/>
        </w:rPr>
        <w:t xml:space="preserve">y debe </w:t>
      </w:r>
      <w:r w:rsidR="00BA7C98" w:rsidRPr="00DF7495">
        <w:rPr>
          <w:color w:val="000000" w:themeColor="text1"/>
          <w:lang w:val="es-CO"/>
        </w:rPr>
        <w:t xml:space="preserve">cumplir con los contenidos mínimos establecidos en los </w:t>
      </w:r>
      <w:proofErr w:type="spellStart"/>
      <w:r w:rsidR="00BA7C98" w:rsidRPr="00DF7495">
        <w:rPr>
          <w:color w:val="000000" w:themeColor="text1"/>
          <w:lang w:val="es-CO"/>
        </w:rPr>
        <w:t>subnumerales</w:t>
      </w:r>
      <w:proofErr w:type="spellEnd"/>
      <w:r w:rsidR="00BA7C98" w:rsidRPr="00DF7495">
        <w:rPr>
          <w:color w:val="000000" w:themeColor="text1"/>
          <w:lang w:val="es-CO"/>
        </w:rPr>
        <w:t xml:space="preserve"> </w:t>
      </w:r>
      <w:r w:rsidR="003B7327" w:rsidRPr="00DF7495">
        <w:rPr>
          <w:color w:val="000000" w:themeColor="text1"/>
          <w:lang w:val="es-CO"/>
        </w:rPr>
        <w:fldChar w:fldCharType="begin"/>
      </w:r>
      <w:r w:rsidR="003B7327" w:rsidRPr="00DF7495">
        <w:rPr>
          <w:color w:val="000000" w:themeColor="text1"/>
          <w:lang w:val="es-CO"/>
        </w:rPr>
        <w:instrText xml:space="preserve"> REF _Ref62032987 \r \h  \* MERGEFORMAT </w:instrText>
      </w:r>
      <w:r w:rsidR="003B7327" w:rsidRPr="00DF7495">
        <w:rPr>
          <w:color w:val="000000" w:themeColor="text1"/>
          <w:lang w:val="es-CO"/>
        </w:rPr>
      </w:r>
      <w:r w:rsidR="003B7327" w:rsidRPr="00DF7495">
        <w:rPr>
          <w:color w:val="000000" w:themeColor="text1"/>
          <w:lang w:val="es-CO"/>
        </w:rPr>
        <w:fldChar w:fldCharType="separate"/>
      </w:r>
      <w:r w:rsidR="00A24F20">
        <w:rPr>
          <w:color w:val="000000" w:themeColor="text1"/>
          <w:lang w:val="es-CO"/>
        </w:rPr>
        <w:t>5.5.1</w:t>
      </w:r>
      <w:r w:rsidR="003B7327" w:rsidRPr="00DF7495">
        <w:rPr>
          <w:color w:val="000000" w:themeColor="text1"/>
          <w:lang w:val="es-CO"/>
        </w:rPr>
        <w:fldChar w:fldCharType="end"/>
      </w:r>
      <w:r w:rsidR="003B7327" w:rsidRPr="00DF7495">
        <w:rPr>
          <w:color w:val="000000" w:themeColor="text1"/>
          <w:lang w:val="es-CO"/>
        </w:rPr>
        <w:t xml:space="preserve"> </w:t>
      </w:r>
      <w:r w:rsidR="00BA7C98" w:rsidRPr="00DF7495">
        <w:rPr>
          <w:color w:val="000000" w:themeColor="text1"/>
          <w:lang w:val="es-CO"/>
        </w:rPr>
        <w:t>y subsiguientes</w:t>
      </w:r>
      <w:r w:rsidR="007A5498" w:rsidRPr="00DF7495">
        <w:rPr>
          <w:color w:val="000000" w:themeColor="text1"/>
          <w:lang w:val="es-CO"/>
        </w:rPr>
        <w:t xml:space="preserve"> del presente Capítulo</w:t>
      </w:r>
      <w:r w:rsidR="00BA7C98" w:rsidRPr="00DF7495">
        <w:rPr>
          <w:color w:val="000000" w:themeColor="text1"/>
          <w:lang w:val="es-CO"/>
        </w:rPr>
        <w:t xml:space="preserve">. </w:t>
      </w:r>
      <w:r w:rsidR="00896E08" w:rsidRPr="00DF7495">
        <w:rPr>
          <w:color w:val="000000" w:themeColor="text1"/>
          <w:lang w:val="es-CO"/>
        </w:rPr>
        <w:t xml:space="preserve">Adicionalmente, </w:t>
      </w:r>
      <w:r w:rsidR="00E64C9D" w:rsidRPr="00DF7495">
        <w:rPr>
          <w:color w:val="000000" w:themeColor="text1"/>
          <w:lang w:val="es-CO"/>
        </w:rPr>
        <w:t xml:space="preserve">la sociedad administradora podrá </w:t>
      </w:r>
      <w:r w:rsidR="0032288D" w:rsidRPr="00DF7495">
        <w:rPr>
          <w:color w:val="000000" w:themeColor="text1"/>
          <w:lang w:val="es-CO"/>
        </w:rPr>
        <w:t>presentar un informe de rendición de cuentas po</w:t>
      </w:r>
      <w:r w:rsidR="00741A26" w:rsidRPr="00DF7495">
        <w:rPr>
          <w:color w:val="000000" w:themeColor="text1"/>
          <w:lang w:val="es-CO"/>
        </w:rPr>
        <w:t>r cada una de las alternativas estandariz</w:t>
      </w:r>
      <w:r w:rsidR="000C4518" w:rsidRPr="00DF7495">
        <w:rPr>
          <w:color w:val="000000" w:themeColor="text1"/>
          <w:lang w:val="es-CO"/>
        </w:rPr>
        <w:t xml:space="preserve">adas </w:t>
      </w:r>
      <w:r w:rsidR="005706E9" w:rsidRPr="00DF7495">
        <w:rPr>
          <w:color w:val="000000" w:themeColor="text1"/>
          <w:lang w:val="es-CO"/>
        </w:rPr>
        <w:t xml:space="preserve">en los términos del presente subnumeral. </w:t>
      </w:r>
    </w:p>
    <w:p w14:paraId="1521D1DA" w14:textId="77777777" w:rsidR="00552B73" w:rsidRPr="00DF7495" w:rsidRDefault="00552B73" w:rsidP="007C1418">
      <w:pPr>
        <w:pBdr>
          <w:left w:val="single" w:sz="4" w:space="1" w:color="auto"/>
        </w:pBdr>
        <w:rPr>
          <w:lang w:val="es-CO"/>
        </w:rPr>
      </w:pPr>
    </w:p>
    <w:p w14:paraId="15A18A99" w14:textId="6FAA7B38" w:rsidR="00D44C2C" w:rsidRPr="00DF7495" w:rsidRDefault="005272A1" w:rsidP="007C1418">
      <w:pPr>
        <w:pStyle w:val="Ttulo3"/>
        <w:pBdr>
          <w:left w:val="single" w:sz="4" w:space="1" w:color="auto"/>
        </w:pBdr>
        <w:rPr>
          <w:lang w:val="es-CO"/>
        </w:rPr>
      </w:pPr>
      <w:bookmarkStart w:id="1" w:name="_Ref62032987"/>
      <w:r w:rsidRPr="00DF7495">
        <w:rPr>
          <w:lang w:val="es-CO"/>
        </w:rPr>
        <w:t>Información del desempeño</w:t>
      </w:r>
      <w:r w:rsidR="00A44977" w:rsidRPr="00DF7495">
        <w:rPr>
          <w:lang w:val="es-CO"/>
        </w:rPr>
        <w:t xml:space="preserve">, conformación y riesgos </w:t>
      </w:r>
      <w:r w:rsidRPr="00DF7495">
        <w:rPr>
          <w:lang w:val="es-CO"/>
        </w:rPr>
        <w:t>de</w:t>
      </w:r>
      <w:r w:rsidR="0070190A">
        <w:rPr>
          <w:lang w:val="es-CO"/>
        </w:rPr>
        <w:t xml:space="preserve"> los</w:t>
      </w:r>
      <w:r w:rsidRPr="00DF7495">
        <w:rPr>
          <w:lang w:val="es-CO"/>
        </w:rPr>
        <w:t xml:space="preserve"> portafolio</w:t>
      </w:r>
      <w:r w:rsidR="0070190A">
        <w:rPr>
          <w:lang w:val="es-CO"/>
        </w:rPr>
        <w:t>s</w:t>
      </w:r>
      <w:r w:rsidR="002E73A0" w:rsidRPr="00DF7495">
        <w:rPr>
          <w:lang w:val="es-CO"/>
        </w:rPr>
        <w:t>.</w:t>
      </w:r>
      <w:bookmarkEnd w:id="1"/>
    </w:p>
    <w:p w14:paraId="2BA200CC" w14:textId="77777777" w:rsidR="00BA7C98" w:rsidRPr="00DF7495" w:rsidRDefault="00BA7C98" w:rsidP="007C1418">
      <w:pPr>
        <w:pBdr>
          <w:left w:val="single" w:sz="4" w:space="1" w:color="auto"/>
        </w:pBdr>
        <w:rPr>
          <w:lang w:val="es-CO" w:eastAsia="es-ES"/>
        </w:rPr>
      </w:pPr>
    </w:p>
    <w:p w14:paraId="41433466" w14:textId="3111BFC9" w:rsidR="00A00C02" w:rsidRPr="00DF7495" w:rsidRDefault="00C933A1" w:rsidP="007C1418">
      <w:pPr>
        <w:pBdr>
          <w:left w:val="single" w:sz="4" w:space="1" w:color="auto"/>
        </w:pBdr>
        <w:rPr>
          <w:lang w:val="es-CO"/>
        </w:rPr>
      </w:pPr>
      <w:r w:rsidRPr="00DF7495">
        <w:rPr>
          <w:rFonts w:cs="Arial"/>
          <w:szCs w:val="16"/>
          <w:lang w:val="es-CO"/>
        </w:rPr>
        <w:t xml:space="preserve">El informe de rendición de cuentas debe </w:t>
      </w:r>
      <w:r w:rsidR="00557A25" w:rsidRPr="00DF7495">
        <w:rPr>
          <w:rFonts w:cs="Arial"/>
          <w:szCs w:val="16"/>
          <w:lang w:val="es-CO"/>
        </w:rPr>
        <w:t xml:space="preserve">contener </w:t>
      </w:r>
      <w:r w:rsidR="00557A25" w:rsidRPr="00DF7495">
        <w:rPr>
          <w:lang w:val="es-CO"/>
        </w:rPr>
        <w:t>una explicación acerca de las particularidades del portafolio de inversiones de</w:t>
      </w:r>
      <w:r w:rsidR="00F27B2A" w:rsidRPr="00DF7495">
        <w:rPr>
          <w:lang w:val="es-CO"/>
        </w:rPr>
        <w:t xml:space="preserve"> </w:t>
      </w:r>
      <w:r w:rsidR="00557A25" w:rsidRPr="00DF7495">
        <w:rPr>
          <w:lang w:val="es-CO"/>
        </w:rPr>
        <w:t>l</w:t>
      </w:r>
      <w:r w:rsidR="00F27B2A" w:rsidRPr="00DF7495">
        <w:rPr>
          <w:lang w:val="es-CO"/>
        </w:rPr>
        <w:t>os</w:t>
      </w:r>
      <w:r w:rsidR="00557A25" w:rsidRPr="00DF7495">
        <w:rPr>
          <w:lang w:val="es-CO"/>
        </w:rPr>
        <w:t xml:space="preserve"> F</w:t>
      </w:r>
      <w:r w:rsidR="00D57E8C" w:rsidRPr="00DF7495">
        <w:rPr>
          <w:lang w:val="es-CO"/>
        </w:rPr>
        <w:t>VP</w:t>
      </w:r>
      <w:r w:rsidR="00557A25" w:rsidRPr="00DF7495">
        <w:rPr>
          <w:lang w:val="es-CO"/>
        </w:rPr>
        <w:t>, los riesgos asociados con éste y el desempeño de sus activos</w:t>
      </w:r>
      <w:r w:rsidR="00A00C02" w:rsidRPr="00DF7495">
        <w:rPr>
          <w:lang w:val="es-CO"/>
        </w:rPr>
        <w:t xml:space="preserve">, así como </w:t>
      </w:r>
      <w:r w:rsidR="006656C3" w:rsidRPr="00DF7495">
        <w:rPr>
          <w:lang w:val="es-CO"/>
        </w:rPr>
        <w:t>la estrateg</w:t>
      </w:r>
      <w:r w:rsidR="007818CC" w:rsidRPr="00DF7495">
        <w:rPr>
          <w:lang w:val="es-CO"/>
        </w:rPr>
        <w:t>i</w:t>
      </w:r>
      <w:r w:rsidR="006656C3" w:rsidRPr="00DF7495">
        <w:rPr>
          <w:lang w:val="es-CO"/>
        </w:rPr>
        <w:t xml:space="preserve">a empleada por la sociedad administradora ante los movimientos del mercado. </w:t>
      </w:r>
    </w:p>
    <w:p w14:paraId="4A3C1E1C" w14:textId="77777777" w:rsidR="00A00C02" w:rsidRPr="00DF7495" w:rsidRDefault="00A00C02" w:rsidP="007C1418">
      <w:pPr>
        <w:pBdr>
          <w:left w:val="single" w:sz="4" w:space="1" w:color="auto"/>
        </w:pBdr>
        <w:rPr>
          <w:lang w:val="es-CO"/>
        </w:rPr>
      </w:pPr>
    </w:p>
    <w:p w14:paraId="0B4A4D27" w14:textId="687E107C" w:rsidR="00075E90" w:rsidRPr="00DF7495" w:rsidRDefault="00722DF1" w:rsidP="007C1418">
      <w:pPr>
        <w:pBdr>
          <w:left w:val="single" w:sz="4" w:space="1" w:color="auto"/>
        </w:pBdr>
        <w:rPr>
          <w:rFonts w:cs="Arial"/>
          <w:szCs w:val="16"/>
          <w:lang w:val="es-CO"/>
        </w:rPr>
      </w:pPr>
      <w:r w:rsidRPr="00DF7495">
        <w:rPr>
          <w:lang w:val="es-CO"/>
        </w:rPr>
        <w:t>El informe debe incluir información cuantitativa y cualitativa acerca de los cambios materiales en el desempeño financiero de los principales activos y de la rentabilidad del</w:t>
      </w:r>
      <w:r w:rsidR="00833821" w:rsidRPr="00DF7495">
        <w:rPr>
          <w:lang w:val="es-CO"/>
        </w:rPr>
        <w:t xml:space="preserve"> portafolio</w:t>
      </w:r>
      <w:r w:rsidR="00471D19" w:rsidRPr="00DF7495">
        <w:rPr>
          <w:lang w:val="es-CO"/>
        </w:rPr>
        <w:t xml:space="preserve">, así como de los </w:t>
      </w:r>
      <w:r w:rsidR="0054080F" w:rsidRPr="00DF7495">
        <w:rPr>
          <w:lang w:val="es-CO"/>
        </w:rPr>
        <w:t xml:space="preserve">factores o eventos que </w:t>
      </w:r>
      <w:r w:rsidR="00AB4EB0" w:rsidRPr="00DF7495">
        <w:rPr>
          <w:lang w:val="es-CO"/>
        </w:rPr>
        <w:t>explican el desempeño del</w:t>
      </w:r>
      <w:r w:rsidR="00455A6B" w:rsidRPr="00DF7495">
        <w:rPr>
          <w:lang w:val="es-CO"/>
        </w:rPr>
        <w:t xml:space="preserve"> portafolio y de los principales tipos de activos que los componen</w:t>
      </w:r>
      <w:r w:rsidR="00A018EA" w:rsidRPr="00DF7495">
        <w:rPr>
          <w:lang w:val="es-CO"/>
        </w:rPr>
        <w:t xml:space="preserve">, </w:t>
      </w:r>
      <w:r w:rsidR="00A018EA" w:rsidRPr="00DF7495">
        <w:rPr>
          <w:rFonts w:cs="Arial"/>
          <w:szCs w:val="16"/>
          <w:lang w:val="es-CO"/>
        </w:rPr>
        <w:t xml:space="preserve">de manera tal que los </w:t>
      </w:r>
      <w:r w:rsidR="005D2BD2" w:rsidRPr="00DF7495">
        <w:rPr>
          <w:rFonts w:cs="Arial"/>
          <w:szCs w:val="16"/>
          <w:lang w:val="es-CO"/>
        </w:rPr>
        <w:t>partícipes</w:t>
      </w:r>
      <w:r w:rsidR="00A018EA" w:rsidRPr="00DF7495">
        <w:rPr>
          <w:rFonts w:cs="Arial"/>
          <w:szCs w:val="16"/>
          <w:lang w:val="es-CO"/>
        </w:rPr>
        <w:t xml:space="preserve"> puedan entender los elementos esenciales que </w:t>
      </w:r>
      <w:r w:rsidR="00251FE2" w:rsidRPr="00DF7495">
        <w:rPr>
          <w:rFonts w:cs="Arial"/>
          <w:szCs w:val="16"/>
          <w:lang w:val="es-CO"/>
        </w:rPr>
        <w:t>incid</w:t>
      </w:r>
      <w:r w:rsidR="0022114D" w:rsidRPr="00DF7495">
        <w:rPr>
          <w:rFonts w:cs="Arial"/>
          <w:szCs w:val="16"/>
          <w:lang w:val="es-CO"/>
        </w:rPr>
        <w:t>ieron en</w:t>
      </w:r>
      <w:r w:rsidR="00251FE2" w:rsidRPr="00DF7495">
        <w:rPr>
          <w:rFonts w:cs="Arial"/>
          <w:szCs w:val="16"/>
          <w:lang w:val="es-CO"/>
        </w:rPr>
        <w:t xml:space="preserve"> </w:t>
      </w:r>
      <w:r w:rsidR="00A018EA" w:rsidRPr="00DF7495">
        <w:rPr>
          <w:rFonts w:cs="Arial"/>
          <w:szCs w:val="16"/>
          <w:lang w:val="es-CO"/>
        </w:rPr>
        <w:t>el comportamiento de la rentabilidad en el per</w:t>
      </w:r>
      <w:r w:rsidR="00251FE2" w:rsidRPr="00DF7495">
        <w:rPr>
          <w:rFonts w:cs="Arial"/>
          <w:szCs w:val="16"/>
          <w:lang w:val="es-CO"/>
        </w:rPr>
        <w:t>í</w:t>
      </w:r>
      <w:r w:rsidR="00A018EA" w:rsidRPr="00DF7495">
        <w:rPr>
          <w:rFonts w:cs="Arial"/>
          <w:szCs w:val="16"/>
          <w:lang w:val="es-CO"/>
        </w:rPr>
        <w:t>odo reportado.</w:t>
      </w:r>
      <w:r w:rsidR="00DE06D9" w:rsidRPr="00DF7495">
        <w:rPr>
          <w:rFonts w:cs="Arial"/>
          <w:szCs w:val="16"/>
          <w:lang w:val="es-CO"/>
        </w:rPr>
        <w:t xml:space="preserve"> </w:t>
      </w:r>
      <w:r w:rsidR="005F49FD" w:rsidRPr="00DF7495">
        <w:rPr>
          <w:rFonts w:cs="Arial"/>
          <w:szCs w:val="16"/>
          <w:lang w:val="es-CO"/>
        </w:rPr>
        <w:t>La información</w:t>
      </w:r>
      <w:r w:rsidR="00BC5E79" w:rsidRPr="00DF7495">
        <w:rPr>
          <w:rFonts w:cs="Arial"/>
          <w:szCs w:val="16"/>
          <w:lang w:val="es-CO"/>
        </w:rPr>
        <w:t xml:space="preserve"> d</w:t>
      </w:r>
      <w:r w:rsidR="006B5A1D" w:rsidRPr="00DF7495">
        <w:rPr>
          <w:rFonts w:cs="Arial"/>
          <w:szCs w:val="16"/>
          <w:lang w:val="es-CO"/>
        </w:rPr>
        <w:t xml:space="preserve">ebe incluir </w:t>
      </w:r>
      <w:r w:rsidR="00C940E1" w:rsidRPr="00DF7495">
        <w:rPr>
          <w:rFonts w:cs="Arial"/>
          <w:szCs w:val="16"/>
          <w:lang w:val="es-CO"/>
        </w:rPr>
        <w:t>una explicación respecto de lo</w:t>
      </w:r>
      <w:r w:rsidR="00564953" w:rsidRPr="00DF7495">
        <w:rPr>
          <w:rFonts w:cs="Arial"/>
          <w:szCs w:val="16"/>
          <w:lang w:val="es-CO"/>
        </w:rPr>
        <w:t xml:space="preserve">s riesgos asociados </w:t>
      </w:r>
      <w:r w:rsidR="00543B6F" w:rsidRPr="00DF7495">
        <w:rPr>
          <w:rFonts w:cs="Arial"/>
          <w:szCs w:val="16"/>
          <w:lang w:val="es-CO"/>
        </w:rPr>
        <w:t xml:space="preserve">al </w:t>
      </w:r>
      <w:r w:rsidR="00564953" w:rsidRPr="00DF7495">
        <w:rPr>
          <w:rFonts w:cs="Arial"/>
          <w:szCs w:val="16"/>
          <w:lang w:val="es-CO"/>
        </w:rPr>
        <w:t>portafolio</w:t>
      </w:r>
      <w:r w:rsidR="007A2A12" w:rsidRPr="00DF7495">
        <w:rPr>
          <w:rFonts w:cs="Arial"/>
          <w:szCs w:val="16"/>
          <w:lang w:val="es-CO"/>
        </w:rPr>
        <w:t xml:space="preserve"> y </w:t>
      </w:r>
      <w:r w:rsidR="00543B6F" w:rsidRPr="00DF7495">
        <w:rPr>
          <w:rFonts w:cs="Arial"/>
          <w:szCs w:val="16"/>
          <w:lang w:val="es-CO"/>
        </w:rPr>
        <w:t>a</w:t>
      </w:r>
      <w:r w:rsidR="007A2A12" w:rsidRPr="00DF7495">
        <w:rPr>
          <w:rFonts w:cs="Arial"/>
          <w:szCs w:val="16"/>
          <w:lang w:val="es-CO"/>
        </w:rPr>
        <w:t xml:space="preserve"> las principales clases de activos</w:t>
      </w:r>
      <w:r w:rsidR="003A5D76" w:rsidRPr="00DF7495">
        <w:rPr>
          <w:rFonts w:cs="Arial"/>
          <w:szCs w:val="16"/>
          <w:lang w:val="es-CO"/>
        </w:rPr>
        <w:t>, i</w:t>
      </w:r>
      <w:r w:rsidR="00075E90" w:rsidRPr="00DF7495">
        <w:rPr>
          <w:rFonts w:cs="Arial"/>
          <w:szCs w:val="16"/>
          <w:lang w:val="es-CO"/>
        </w:rPr>
        <w:t>ncluyendo eventos de materialización de riesgo y la</w:t>
      </w:r>
      <w:r w:rsidR="00B940E7" w:rsidRPr="00DF7495">
        <w:rPr>
          <w:rFonts w:cs="Arial"/>
          <w:szCs w:val="16"/>
          <w:lang w:val="es-CO"/>
        </w:rPr>
        <w:t xml:space="preserve">s medidas adoptadas por la </w:t>
      </w:r>
      <w:r w:rsidR="00103200" w:rsidRPr="00DF7495">
        <w:rPr>
          <w:rFonts w:cs="Arial"/>
          <w:szCs w:val="16"/>
          <w:lang w:val="es-CO"/>
        </w:rPr>
        <w:t xml:space="preserve">sociedad administradora ante los mismos. </w:t>
      </w:r>
    </w:p>
    <w:p w14:paraId="0707EB8C" w14:textId="77777777" w:rsidR="006559DB" w:rsidRPr="00DF7495" w:rsidRDefault="006559DB" w:rsidP="007C1418">
      <w:pPr>
        <w:pBdr>
          <w:left w:val="single" w:sz="4" w:space="1" w:color="auto"/>
        </w:pBdr>
        <w:rPr>
          <w:lang w:val="es-CO"/>
        </w:rPr>
      </w:pPr>
    </w:p>
    <w:p w14:paraId="405F8A4A" w14:textId="2D0038E8" w:rsidR="00DE06D9" w:rsidRPr="00DF7495" w:rsidRDefault="00F46D38" w:rsidP="007C1418">
      <w:pPr>
        <w:pBdr>
          <w:left w:val="single" w:sz="4" w:space="1" w:color="auto"/>
        </w:pBdr>
        <w:rPr>
          <w:lang w:val="es-CO"/>
        </w:rPr>
      </w:pPr>
      <w:r w:rsidRPr="00DF7495">
        <w:rPr>
          <w:lang w:val="es-CO"/>
        </w:rPr>
        <w:t xml:space="preserve">Adicionalmente, se debe proveer </w:t>
      </w:r>
      <w:r w:rsidR="006559DB" w:rsidRPr="00DF7495">
        <w:rPr>
          <w:lang w:val="es-CO"/>
        </w:rPr>
        <w:t>información acerca de la composición del portafolio con relación a los riesgos y los retor</w:t>
      </w:r>
      <w:r w:rsidR="006559DB" w:rsidRPr="00DF7495">
        <w:rPr>
          <w:rFonts w:cs="Arial"/>
          <w:szCs w:val="16"/>
          <w:lang w:val="es-CO"/>
        </w:rPr>
        <w:t>nos obtenidos</w:t>
      </w:r>
      <w:r w:rsidR="00DE06D9" w:rsidRPr="00DF7495">
        <w:rPr>
          <w:rFonts w:cs="Arial"/>
          <w:szCs w:val="16"/>
          <w:lang w:val="es-CO"/>
        </w:rPr>
        <w:t xml:space="preserve"> y complementar el análisis de la </w:t>
      </w:r>
      <w:r w:rsidR="00DE06D9" w:rsidRPr="00DF7495">
        <w:rPr>
          <w:lang w:val="es-CO"/>
        </w:rPr>
        <w:t>composición del portafolio que se refleja a través de las fichas técnicas. Lo anterior</w:t>
      </w:r>
      <w:r w:rsidR="002E4F24" w:rsidRPr="00DF7495">
        <w:rPr>
          <w:lang w:val="es-CO"/>
        </w:rPr>
        <w:t>,</w:t>
      </w:r>
      <w:r w:rsidR="00DE06D9" w:rsidRPr="00DF7495">
        <w:rPr>
          <w:lang w:val="es-CO"/>
        </w:rPr>
        <w:t xml:space="preserve"> debe incluir un análisis acerca de su dinámica y porqué se presentaron cambios en el período, cuando </w:t>
      </w:r>
      <w:r w:rsidR="000C6219" w:rsidRPr="00DF7495">
        <w:rPr>
          <w:lang w:val="es-CO"/>
        </w:rPr>
        <w:t xml:space="preserve">se consideren </w:t>
      </w:r>
      <w:r w:rsidR="00DE06D9" w:rsidRPr="00DF7495">
        <w:rPr>
          <w:lang w:val="es-CO"/>
        </w:rPr>
        <w:t xml:space="preserve">materiales. Se debe informar a los </w:t>
      </w:r>
      <w:r w:rsidR="005142E2" w:rsidRPr="00DF7495">
        <w:rPr>
          <w:lang w:val="es-CO"/>
        </w:rPr>
        <w:t xml:space="preserve">partícipes </w:t>
      </w:r>
      <w:r w:rsidR="00DE06D9" w:rsidRPr="00DF7495">
        <w:rPr>
          <w:lang w:val="es-CO"/>
        </w:rPr>
        <w:t xml:space="preserve">acerca del cumplimiento de las políticas de inversión y su injerencia dentro de los resultados obtenidos. </w:t>
      </w:r>
    </w:p>
    <w:p w14:paraId="3DFA45FA" w14:textId="455B62C9" w:rsidR="00563537" w:rsidRPr="00DF7495" w:rsidRDefault="00563537" w:rsidP="007C1418">
      <w:pPr>
        <w:pBdr>
          <w:left w:val="single" w:sz="4" w:space="1" w:color="auto"/>
        </w:pBdr>
        <w:rPr>
          <w:lang w:val="es-CO"/>
        </w:rPr>
      </w:pPr>
    </w:p>
    <w:p w14:paraId="1A1F6F39" w14:textId="67C7A3E3" w:rsidR="00AE7153" w:rsidRPr="00DF7495" w:rsidRDefault="00563537" w:rsidP="007C1418">
      <w:pPr>
        <w:pStyle w:val="Ttulo4"/>
        <w:numPr>
          <w:ilvl w:val="0"/>
          <w:numId w:val="0"/>
        </w:numPr>
        <w:pBdr>
          <w:left w:val="single" w:sz="4" w:space="1" w:color="auto"/>
        </w:pBdr>
        <w:rPr>
          <w:lang w:val="es-CO"/>
        </w:rPr>
      </w:pPr>
      <w:r w:rsidRPr="00DF7495">
        <w:rPr>
          <w:lang w:val="es-CO"/>
        </w:rPr>
        <w:t>La información cualitativa debe incluir indi</w:t>
      </w:r>
      <w:r w:rsidR="00375705" w:rsidRPr="00DF7495">
        <w:rPr>
          <w:lang w:val="es-CO"/>
        </w:rPr>
        <w:t>cadores</w:t>
      </w:r>
      <w:r w:rsidR="00A74454" w:rsidRPr="00DF7495">
        <w:rPr>
          <w:lang w:val="es-CO"/>
        </w:rPr>
        <w:t xml:space="preserve"> </w:t>
      </w:r>
      <w:r w:rsidR="00375705" w:rsidRPr="00DF7495">
        <w:rPr>
          <w:lang w:val="es-CO"/>
        </w:rPr>
        <w:t>de desempeño y de riesgos</w:t>
      </w:r>
      <w:r w:rsidR="00241234" w:rsidRPr="00DF7495">
        <w:rPr>
          <w:lang w:val="es-CO"/>
        </w:rPr>
        <w:t xml:space="preserve"> </w:t>
      </w:r>
      <w:r w:rsidR="00A74454" w:rsidRPr="00DF7495">
        <w:rPr>
          <w:lang w:val="es-CO"/>
        </w:rPr>
        <w:t>asociados con</w:t>
      </w:r>
      <w:r w:rsidR="00241234" w:rsidRPr="00DF7495">
        <w:rPr>
          <w:lang w:val="es-CO"/>
        </w:rPr>
        <w:t xml:space="preserve"> la rentabilidad y la volatilidad.</w:t>
      </w:r>
      <w:r w:rsidR="00953D73" w:rsidRPr="00DF7495">
        <w:rPr>
          <w:lang w:val="es-CO"/>
        </w:rPr>
        <w:t xml:space="preserve"> </w:t>
      </w:r>
      <w:r w:rsidR="00A74454" w:rsidRPr="00DF7495">
        <w:rPr>
          <w:lang w:val="es-CO"/>
        </w:rPr>
        <w:t>Para tal efecto, l</w:t>
      </w:r>
      <w:r w:rsidR="007C1AF5" w:rsidRPr="00DF7495">
        <w:rPr>
          <w:lang w:val="es-CO"/>
        </w:rPr>
        <w:t xml:space="preserve">as </w:t>
      </w:r>
      <w:r w:rsidR="00D36D0D" w:rsidRPr="00DF7495">
        <w:rPr>
          <w:lang w:val="es-CO"/>
        </w:rPr>
        <w:t xml:space="preserve">sociedades </w:t>
      </w:r>
      <w:r w:rsidR="00D35022" w:rsidRPr="00DF7495">
        <w:rPr>
          <w:lang w:val="es-CO"/>
        </w:rPr>
        <w:t>administradoras</w:t>
      </w:r>
      <w:r w:rsidR="00D36D0D" w:rsidRPr="00DF7495">
        <w:rPr>
          <w:lang w:val="es-CO"/>
        </w:rPr>
        <w:t xml:space="preserve"> pueden utilizar </w:t>
      </w:r>
      <w:r w:rsidR="0015656E" w:rsidRPr="00DF7495">
        <w:rPr>
          <w:lang w:val="es-CO"/>
        </w:rPr>
        <w:t>i</w:t>
      </w:r>
      <w:r w:rsidR="00AE7153" w:rsidRPr="00DF7495">
        <w:rPr>
          <w:lang w:val="es-CO"/>
        </w:rPr>
        <w:t xml:space="preserve">ndicadores </w:t>
      </w:r>
      <w:r w:rsidR="00892D0E" w:rsidRPr="00DF7495">
        <w:rPr>
          <w:lang w:val="es-CO"/>
        </w:rPr>
        <w:t>más</w:t>
      </w:r>
      <w:r w:rsidR="00F3490F" w:rsidRPr="00DF7495">
        <w:rPr>
          <w:lang w:val="es-CO"/>
        </w:rPr>
        <w:t xml:space="preserve"> complejos </w:t>
      </w:r>
      <w:r w:rsidR="00AE7153" w:rsidRPr="00DF7495">
        <w:rPr>
          <w:lang w:val="es-CO"/>
        </w:rPr>
        <w:t xml:space="preserve">que </w:t>
      </w:r>
      <w:r w:rsidR="00E50491" w:rsidRPr="00DF7495">
        <w:rPr>
          <w:lang w:val="es-CO"/>
        </w:rPr>
        <w:t>l</w:t>
      </w:r>
      <w:r w:rsidR="006C0077" w:rsidRPr="00DF7495">
        <w:rPr>
          <w:lang w:val="es-CO"/>
        </w:rPr>
        <w:t xml:space="preserve">e </w:t>
      </w:r>
      <w:r w:rsidR="00AE7153" w:rsidRPr="00DF7495">
        <w:rPr>
          <w:lang w:val="es-CO"/>
        </w:rPr>
        <w:t xml:space="preserve">permitan a los </w:t>
      </w:r>
      <w:r w:rsidR="00892D0E" w:rsidRPr="00DF7495">
        <w:rPr>
          <w:lang w:val="es-CO"/>
        </w:rPr>
        <w:t>partícipes</w:t>
      </w:r>
      <w:r w:rsidR="00AE7153" w:rsidRPr="00DF7495">
        <w:rPr>
          <w:lang w:val="es-CO"/>
        </w:rPr>
        <w:t xml:space="preserve"> </w:t>
      </w:r>
      <w:r w:rsidR="00C156B2" w:rsidRPr="00DF7495">
        <w:rPr>
          <w:lang w:val="es-CO"/>
        </w:rPr>
        <w:t>entender</w:t>
      </w:r>
      <w:r w:rsidR="0015656E" w:rsidRPr="00DF7495">
        <w:rPr>
          <w:lang w:val="es-CO"/>
        </w:rPr>
        <w:t xml:space="preserve"> el desempeño y</w:t>
      </w:r>
      <w:r w:rsidR="00C156B2" w:rsidRPr="00DF7495">
        <w:rPr>
          <w:lang w:val="es-CO"/>
        </w:rPr>
        <w:t xml:space="preserve"> </w:t>
      </w:r>
      <w:r w:rsidR="00545FAB" w:rsidRPr="00DF7495">
        <w:rPr>
          <w:lang w:val="es-CO"/>
        </w:rPr>
        <w:t>los riesgos</w:t>
      </w:r>
      <w:r w:rsidR="008A3E2F" w:rsidRPr="00DF7495">
        <w:rPr>
          <w:lang w:val="es-CO"/>
        </w:rPr>
        <w:t xml:space="preserve"> del portafolio, tales como </w:t>
      </w:r>
      <w:proofErr w:type="spellStart"/>
      <w:r w:rsidR="008A3E2F" w:rsidRPr="00DF7495">
        <w:rPr>
          <w:i/>
          <w:iCs/>
          <w:lang w:val="es-CO"/>
        </w:rPr>
        <w:t>expected</w:t>
      </w:r>
      <w:proofErr w:type="spellEnd"/>
      <w:r w:rsidR="008A3E2F" w:rsidRPr="00DF7495">
        <w:rPr>
          <w:i/>
          <w:iCs/>
          <w:lang w:val="es-CO"/>
        </w:rPr>
        <w:t xml:space="preserve"> </w:t>
      </w:r>
      <w:proofErr w:type="spellStart"/>
      <w:r w:rsidR="008A3E2F" w:rsidRPr="00DF7495">
        <w:rPr>
          <w:i/>
          <w:iCs/>
          <w:lang w:val="es-CO"/>
        </w:rPr>
        <w:t>shortfall</w:t>
      </w:r>
      <w:proofErr w:type="spellEnd"/>
      <w:r w:rsidR="008A3E2F" w:rsidRPr="00DF7495">
        <w:rPr>
          <w:i/>
          <w:iCs/>
          <w:lang w:val="es-CO"/>
        </w:rPr>
        <w:t xml:space="preserve">, máximum </w:t>
      </w:r>
      <w:proofErr w:type="spellStart"/>
      <w:r w:rsidR="008A3E2F" w:rsidRPr="00DF7495">
        <w:rPr>
          <w:i/>
          <w:iCs/>
          <w:lang w:val="es-CO"/>
        </w:rPr>
        <w:t>drawdown</w:t>
      </w:r>
      <w:proofErr w:type="spellEnd"/>
      <w:r w:rsidR="008A3E2F" w:rsidRPr="00DF7495">
        <w:rPr>
          <w:i/>
          <w:iCs/>
          <w:lang w:val="es-CO"/>
        </w:rPr>
        <w:t xml:space="preserve">, VaR, </w:t>
      </w:r>
      <w:r w:rsidR="004F4E3E" w:rsidRPr="00DF7495">
        <w:rPr>
          <w:lang w:val="es-CO"/>
        </w:rPr>
        <w:t xml:space="preserve">entre otros. La presentación de estos indicadores </w:t>
      </w:r>
      <w:r w:rsidR="00827463" w:rsidRPr="00DF7495">
        <w:rPr>
          <w:lang w:val="es-CO"/>
        </w:rPr>
        <w:t xml:space="preserve">se debe acompañar </w:t>
      </w:r>
      <w:r w:rsidR="00D54C98" w:rsidRPr="00DF7495">
        <w:rPr>
          <w:lang w:val="es-CO"/>
        </w:rPr>
        <w:t xml:space="preserve">con </w:t>
      </w:r>
      <w:r w:rsidR="00827463" w:rsidRPr="00DF7495">
        <w:rPr>
          <w:lang w:val="es-CO"/>
        </w:rPr>
        <w:t xml:space="preserve">una explicación clara de </w:t>
      </w:r>
      <w:r w:rsidR="004B49E5" w:rsidRPr="00DF7495">
        <w:rPr>
          <w:lang w:val="es-CO"/>
        </w:rPr>
        <w:t>los mismos</w:t>
      </w:r>
      <w:r w:rsidR="0009304B" w:rsidRPr="00DF7495">
        <w:rPr>
          <w:lang w:val="es-CO"/>
        </w:rPr>
        <w:t>.</w:t>
      </w:r>
    </w:p>
    <w:p w14:paraId="598E5058" w14:textId="77777777" w:rsidR="006559DB" w:rsidRPr="00DF7495" w:rsidRDefault="006559DB" w:rsidP="007C1418">
      <w:pPr>
        <w:pBdr>
          <w:left w:val="single" w:sz="4" w:space="1" w:color="auto"/>
        </w:pBdr>
        <w:rPr>
          <w:lang w:val="es-CO"/>
        </w:rPr>
      </w:pPr>
    </w:p>
    <w:p w14:paraId="5DD14999" w14:textId="25E43A2A" w:rsidR="006559DB" w:rsidRPr="00DF7495" w:rsidRDefault="006559DB" w:rsidP="007C1418">
      <w:pPr>
        <w:pBdr>
          <w:left w:val="single" w:sz="4" w:space="1" w:color="auto"/>
        </w:pBdr>
        <w:rPr>
          <w:lang w:val="es-CO"/>
        </w:rPr>
      </w:pPr>
      <w:r w:rsidRPr="00DF7495">
        <w:rPr>
          <w:lang w:val="es-CO"/>
        </w:rPr>
        <w:lastRenderedPageBreak/>
        <w:t xml:space="preserve">En el caso de los </w:t>
      </w:r>
      <w:r w:rsidR="00DE06D9" w:rsidRPr="00DF7495">
        <w:rPr>
          <w:lang w:val="es-CO"/>
        </w:rPr>
        <w:t xml:space="preserve">portafolios cuyo prospecto contemple la posibilidad de realizar operaciones con instrumentos financieros derivados y productos estructurados, o la realización de operaciones de apalancamiento, </w:t>
      </w:r>
      <w:r w:rsidRPr="00DF7495">
        <w:rPr>
          <w:lang w:val="es-CO"/>
        </w:rPr>
        <w:t xml:space="preserve">el informe debe incluir la explicación de las operaciones de </w:t>
      </w:r>
      <w:r w:rsidR="00DE06D9" w:rsidRPr="00DF7495">
        <w:rPr>
          <w:lang w:val="es-CO"/>
        </w:rPr>
        <w:t>esta naturaleza</w:t>
      </w:r>
      <w:r w:rsidRPr="00DF7495">
        <w:rPr>
          <w:lang w:val="es-CO"/>
        </w:rPr>
        <w:t xml:space="preserve"> celebradas durante el período de referencia, incluyendo la información </w:t>
      </w:r>
      <w:r w:rsidR="004B49E5" w:rsidRPr="00DF7495">
        <w:rPr>
          <w:lang w:val="es-CO"/>
        </w:rPr>
        <w:t xml:space="preserve">que </w:t>
      </w:r>
      <w:r w:rsidRPr="00DF7495">
        <w:rPr>
          <w:lang w:val="es-CO"/>
        </w:rPr>
        <w:t xml:space="preserve">de </w:t>
      </w:r>
      <w:r w:rsidR="00C5742F" w:rsidRPr="00DF7495">
        <w:rPr>
          <w:lang w:val="es-CO"/>
        </w:rPr>
        <w:t>estas</w:t>
      </w:r>
      <w:r w:rsidRPr="00DF7495">
        <w:rPr>
          <w:lang w:val="es-CO"/>
        </w:rPr>
        <w:t xml:space="preserve"> sea necesaria para que los </w:t>
      </w:r>
      <w:r w:rsidR="00F06E59" w:rsidRPr="00DF7495">
        <w:rPr>
          <w:lang w:val="es-CO"/>
        </w:rPr>
        <w:t xml:space="preserve">partícipes </w:t>
      </w:r>
      <w:r w:rsidRPr="00DF7495">
        <w:rPr>
          <w:lang w:val="es-CO"/>
        </w:rPr>
        <w:t>conozcan y comprendan la naturaleza de los riesgos que están asumiendo.</w:t>
      </w:r>
    </w:p>
    <w:p w14:paraId="38C1A123" w14:textId="77777777" w:rsidR="001A5899" w:rsidRPr="00DF7495" w:rsidRDefault="001A5899" w:rsidP="007C1418">
      <w:pPr>
        <w:pBdr>
          <w:left w:val="single" w:sz="4" w:space="1" w:color="auto"/>
        </w:pBdr>
        <w:rPr>
          <w:lang w:val="es-CO" w:eastAsia="es-ES"/>
        </w:rPr>
      </w:pPr>
    </w:p>
    <w:p w14:paraId="33C37B97" w14:textId="7C93DB5E" w:rsidR="00C5742F" w:rsidRPr="00DF7495" w:rsidRDefault="00C5742F" w:rsidP="00642C13">
      <w:pPr>
        <w:pStyle w:val="Ttulo3"/>
        <w:pBdr>
          <w:left w:val="single" w:sz="4" w:space="1" w:color="auto"/>
        </w:pBdr>
        <w:rPr>
          <w:lang w:val="es-CO"/>
        </w:rPr>
      </w:pPr>
      <w:r w:rsidRPr="00DF7495">
        <w:rPr>
          <w:lang w:val="es-CO"/>
        </w:rPr>
        <w:t xml:space="preserve">Desempeño de inversiones con </w:t>
      </w:r>
      <w:r w:rsidR="00E2612D" w:rsidRPr="00DF7495">
        <w:rPr>
          <w:lang w:val="es-CO"/>
        </w:rPr>
        <w:t xml:space="preserve">estrategias de inversión con denominación </w:t>
      </w:r>
      <w:r w:rsidR="004C732A" w:rsidRPr="00DF7495">
        <w:rPr>
          <w:lang w:val="es-CO"/>
        </w:rPr>
        <w:t>A</w:t>
      </w:r>
      <w:r w:rsidRPr="00DF7495">
        <w:rPr>
          <w:lang w:val="es-CO"/>
        </w:rPr>
        <w:t>SG</w:t>
      </w:r>
      <w:r w:rsidR="00E2612D" w:rsidRPr="00DF7495">
        <w:rPr>
          <w:lang w:val="es-CO"/>
        </w:rPr>
        <w:t xml:space="preserve"> o similares.</w:t>
      </w:r>
    </w:p>
    <w:p w14:paraId="0425245A" w14:textId="1FF0363D" w:rsidR="00C5742F" w:rsidRPr="00DF7495" w:rsidRDefault="00C5742F" w:rsidP="00642C13">
      <w:pPr>
        <w:pBdr>
          <w:left w:val="single" w:sz="4" w:space="1" w:color="auto"/>
        </w:pBdr>
        <w:rPr>
          <w:lang w:val="es-CO" w:eastAsia="es-ES"/>
        </w:rPr>
      </w:pPr>
    </w:p>
    <w:p w14:paraId="518B8CF6" w14:textId="4F53A31A" w:rsidR="00C5742F" w:rsidRPr="00DF7495" w:rsidRDefault="004A36C1" w:rsidP="00642C13">
      <w:pPr>
        <w:pBdr>
          <w:left w:val="single" w:sz="4" w:space="1" w:color="auto"/>
        </w:pBdr>
        <w:rPr>
          <w:lang w:val="es-CO" w:eastAsia="es-ES"/>
        </w:rPr>
      </w:pPr>
      <w:r w:rsidRPr="00DF7495">
        <w:rPr>
          <w:lang w:val="es-CO" w:eastAsia="es-ES"/>
        </w:rPr>
        <w:t xml:space="preserve">En los casos en los que a estos portafolios se les asigne una denominación relacionada con algunas de las tres dimensiones de </w:t>
      </w:r>
      <w:r w:rsidR="004920C5" w:rsidRPr="00DF7495">
        <w:rPr>
          <w:lang w:val="es-CO" w:eastAsia="es-ES"/>
        </w:rPr>
        <w:t>A</w:t>
      </w:r>
      <w:r w:rsidRPr="00DF7495">
        <w:rPr>
          <w:lang w:val="es-CO" w:eastAsia="es-ES"/>
        </w:rPr>
        <w:t>SG o bajo nombres</w:t>
      </w:r>
      <w:r w:rsidR="004920C5" w:rsidRPr="00DF7495">
        <w:rPr>
          <w:lang w:val="es-CO" w:eastAsia="es-ES"/>
        </w:rPr>
        <w:t>, tales</w:t>
      </w:r>
      <w:r w:rsidRPr="00DF7495">
        <w:rPr>
          <w:lang w:val="es-CO" w:eastAsia="es-ES"/>
        </w:rPr>
        <w:t xml:space="preserve"> como</w:t>
      </w:r>
      <w:r w:rsidR="004920C5" w:rsidRPr="00DF7495">
        <w:rPr>
          <w:lang w:val="es-CO" w:eastAsia="es-ES"/>
        </w:rPr>
        <w:t>,</w:t>
      </w:r>
      <w:r w:rsidRPr="00DF7495">
        <w:rPr>
          <w:lang w:val="es-CO" w:eastAsia="es-ES"/>
        </w:rPr>
        <w:t xml:space="preserve"> sostenibles, responsables, o similares, y</w:t>
      </w:r>
      <w:r w:rsidRPr="00DF7495">
        <w:rPr>
          <w:lang w:val="es-CO"/>
        </w:rPr>
        <w:t>/o se utilice dicha denominación como estrategia comercial para el ofrecimiento del portafolio,</w:t>
      </w:r>
      <w:r w:rsidR="00C5742F" w:rsidRPr="00DF7495">
        <w:rPr>
          <w:lang w:val="es-CO"/>
        </w:rPr>
        <w:t xml:space="preserve"> el informe de rendición de cuentas debe incorporar información respe</w:t>
      </w:r>
      <w:r w:rsidRPr="00DF7495">
        <w:rPr>
          <w:lang w:val="es-CO"/>
        </w:rPr>
        <w:t>c</w:t>
      </w:r>
      <w:r w:rsidR="00C5742F" w:rsidRPr="00DF7495">
        <w:rPr>
          <w:lang w:val="es-CO"/>
        </w:rPr>
        <w:t xml:space="preserve">to del impacto de estos factores en el desempeño </w:t>
      </w:r>
      <w:r w:rsidR="000805A2" w:rsidRPr="00DF7495">
        <w:rPr>
          <w:lang w:val="es-CO"/>
        </w:rPr>
        <w:t xml:space="preserve">y composición </w:t>
      </w:r>
      <w:r w:rsidR="00C5742F" w:rsidRPr="00DF7495">
        <w:rPr>
          <w:lang w:val="es-CO"/>
        </w:rPr>
        <w:t>del portafolio</w:t>
      </w:r>
      <w:r w:rsidR="00115203" w:rsidRPr="00DF7495">
        <w:rPr>
          <w:lang w:val="es-CO"/>
        </w:rPr>
        <w:t>.</w:t>
      </w:r>
      <w:r w:rsidR="00C5742F" w:rsidRPr="00DF7495">
        <w:rPr>
          <w:lang w:val="es-CO"/>
        </w:rPr>
        <w:t xml:space="preserve"> </w:t>
      </w:r>
    </w:p>
    <w:p w14:paraId="1A262245" w14:textId="77777777" w:rsidR="00C5742F" w:rsidRPr="00DF7495" w:rsidRDefault="00C5742F" w:rsidP="00642C13">
      <w:pPr>
        <w:pBdr>
          <w:left w:val="single" w:sz="4" w:space="1" w:color="auto"/>
        </w:pBdr>
        <w:rPr>
          <w:lang w:val="es-CO" w:eastAsia="es-ES"/>
        </w:rPr>
      </w:pPr>
    </w:p>
    <w:p w14:paraId="74FBE38D" w14:textId="261CA71F" w:rsidR="0083664B" w:rsidRPr="00DF7495" w:rsidRDefault="0083664B" w:rsidP="00642C13">
      <w:pPr>
        <w:pStyle w:val="Ttulo3"/>
        <w:pBdr>
          <w:left w:val="single" w:sz="4" w:space="1" w:color="auto"/>
        </w:pBdr>
        <w:rPr>
          <w:lang w:val="es-CO"/>
        </w:rPr>
      </w:pPr>
      <w:r w:rsidRPr="00DF7495">
        <w:rPr>
          <w:lang w:val="es-CO"/>
        </w:rPr>
        <w:t>Relación pormenorizada de comisiones fijas y variables:</w:t>
      </w:r>
    </w:p>
    <w:p w14:paraId="7E5594D3" w14:textId="77777777" w:rsidR="0083664B" w:rsidRPr="00DF7495" w:rsidRDefault="0083664B" w:rsidP="00642C13">
      <w:pPr>
        <w:pBdr>
          <w:left w:val="single" w:sz="4" w:space="1" w:color="auto"/>
        </w:pBdr>
        <w:rPr>
          <w:lang w:val="es-CO" w:eastAsia="es-ES"/>
        </w:rPr>
      </w:pPr>
    </w:p>
    <w:p w14:paraId="343B658E" w14:textId="77777777" w:rsidR="0083664B" w:rsidRPr="00DF7495" w:rsidRDefault="0083664B" w:rsidP="00642C13">
      <w:pPr>
        <w:pStyle w:val="Ttulo4"/>
        <w:pBdr>
          <w:left w:val="single" w:sz="4" w:space="1" w:color="auto"/>
        </w:pBdr>
        <w:ind w:left="0"/>
        <w:rPr>
          <w:lang w:val="es-CO"/>
        </w:rPr>
      </w:pPr>
      <w:r w:rsidRPr="00DF7495">
        <w:rPr>
          <w:lang w:val="es-CO"/>
        </w:rPr>
        <w:t>La relación pormenorizada de las comisiones fijas y variables cobradas en el respectivo período, para lo cual pueden agregarse en un mismo rubro las comisiones cobradas a varios partícipes por el mismo concepto.</w:t>
      </w:r>
    </w:p>
    <w:p w14:paraId="65B3B8A6" w14:textId="77777777" w:rsidR="0083664B" w:rsidRPr="00DF7495" w:rsidRDefault="0083664B" w:rsidP="00642C13">
      <w:pPr>
        <w:pBdr>
          <w:left w:val="single" w:sz="4" w:space="1" w:color="auto"/>
        </w:pBdr>
        <w:rPr>
          <w:lang w:val="es-CO" w:eastAsia="es-ES"/>
        </w:rPr>
      </w:pPr>
    </w:p>
    <w:p w14:paraId="3ABF9DC2" w14:textId="5CB7EBA8" w:rsidR="0083664B" w:rsidRPr="00DF7495" w:rsidRDefault="0083664B" w:rsidP="00642C13">
      <w:pPr>
        <w:pStyle w:val="Ttulo4"/>
        <w:pBdr>
          <w:left w:val="single" w:sz="4" w:space="1" w:color="auto"/>
        </w:pBdr>
        <w:ind w:left="0"/>
        <w:rPr>
          <w:lang w:val="es-CO"/>
        </w:rPr>
      </w:pPr>
      <w:r w:rsidRPr="00DF7495">
        <w:rPr>
          <w:lang w:val="es-CO"/>
        </w:rPr>
        <w:t xml:space="preserve">El porcentaje efectivamente pagado por comisiones, para </w:t>
      </w:r>
      <w:r w:rsidR="00455149" w:rsidRPr="00DF7495">
        <w:rPr>
          <w:lang w:val="es-CO"/>
        </w:rPr>
        <w:t xml:space="preserve">lo </w:t>
      </w:r>
      <w:r w:rsidRPr="00DF7495">
        <w:rPr>
          <w:lang w:val="es-CO"/>
        </w:rPr>
        <w:t>cual se deben agregar las comisiones fijas y las comisiones variables para el efecto</w:t>
      </w:r>
      <w:r w:rsidR="00243922" w:rsidRPr="00DF7495">
        <w:rPr>
          <w:lang w:val="es-CO"/>
        </w:rPr>
        <w:t>. L</w:t>
      </w:r>
      <w:r w:rsidRPr="00DF7495">
        <w:rPr>
          <w:lang w:val="es-CO"/>
        </w:rPr>
        <w:t>as comisiones variables se convertirán en la forma establecida en el reglamento de funcionamiento del FVP para expresarl</w:t>
      </w:r>
      <w:r w:rsidR="00707D43" w:rsidRPr="00DF7495">
        <w:rPr>
          <w:lang w:val="es-CO"/>
        </w:rPr>
        <w:t>a</w:t>
      </w:r>
      <w:r w:rsidRPr="00DF7495">
        <w:rPr>
          <w:lang w:val="es-CO"/>
        </w:rPr>
        <w:t>s como porcentaje del monto de activos administrados.</w:t>
      </w:r>
    </w:p>
    <w:p w14:paraId="6413F311" w14:textId="77777777" w:rsidR="0083664B" w:rsidRPr="00DF7495" w:rsidRDefault="0083664B" w:rsidP="00642C13">
      <w:pPr>
        <w:pBdr>
          <w:left w:val="single" w:sz="4" w:space="1" w:color="auto"/>
        </w:pBdr>
        <w:rPr>
          <w:lang w:val="es-CO" w:eastAsia="es-ES"/>
        </w:rPr>
      </w:pPr>
    </w:p>
    <w:p w14:paraId="6C60B9FA" w14:textId="77777777" w:rsidR="0083664B" w:rsidRPr="00DF7495" w:rsidRDefault="0083664B" w:rsidP="00642C13">
      <w:pPr>
        <w:pStyle w:val="Ttulo4"/>
        <w:pBdr>
          <w:left w:val="single" w:sz="4" w:space="1" w:color="auto"/>
        </w:pBdr>
        <w:ind w:left="0"/>
        <w:rPr>
          <w:lang w:val="es-CO"/>
        </w:rPr>
      </w:pPr>
      <w:r w:rsidRPr="00DF7495">
        <w:rPr>
          <w:lang w:val="es-CO"/>
        </w:rPr>
        <w:t>La distribución de porcentajes efectivamente pagados por comisiones reportados en los extractos de cuenta.</w:t>
      </w:r>
    </w:p>
    <w:p w14:paraId="55CB8DC0" w14:textId="77777777" w:rsidR="0083664B" w:rsidRPr="00DF7495" w:rsidRDefault="0083664B" w:rsidP="00642C13">
      <w:pPr>
        <w:pBdr>
          <w:left w:val="single" w:sz="4" w:space="1" w:color="auto"/>
        </w:pBdr>
        <w:rPr>
          <w:lang w:val="es-CO" w:eastAsia="es-ES"/>
        </w:rPr>
      </w:pPr>
    </w:p>
    <w:p w14:paraId="7D09E82C" w14:textId="77777777" w:rsidR="0083664B" w:rsidRPr="00DF7495" w:rsidRDefault="0083664B" w:rsidP="00642C13">
      <w:pPr>
        <w:pStyle w:val="Ttulo3"/>
        <w:pBdr>
          <w:left w:val="single" w:sz="4" w:space="1" w:color="auto"/>
        </w:pBdr>
        <w:rPr>
          <w:szCs w:val="16"/>
          <w:lang w:val="es-CO"/>
        </w:rPr>
      </w:pPr>
      <w:r w:rsidRPr="00DF7495">
        <w:rPr>
          <w:szCs w:val="16"/>
          <w:lang w:val="es-CO"/>
        </w:rPr>
        <w:t>Situaciones de conflictos de interés</w:t>
      </w:r>
    </w:p>
    <w:p w14:paraId="001CCFA2" w14:textId="77777777" w:rsidR="0083664B" w:rsidRPr="00DF7495" w:rsidRDefault="0083664B" w:rsidP="00642C13">
      <w:pPr>
        <w:pBdr>
          <w:left w:val="single" w:sz="4" w:space="1" w:color="auto"/>
        </w:pBdr>
        <w:rPr>
          <w:lang w:val="es-CO" w:eastAsia="es-ES"/>
        </w:rPr>
      </w:pPr>
    </w:p>
    <w:p w14:paraId="6C561FD6" w14:textId="77777777" w:rsidR="0083664B" w:rsidRPr="00DF7495" w:rsidRDefault="0083664B" w:rsidP="00642C13">
      <w:pPr>
        <w:pBdr>
          <w:left w:val="single" w:sz="4" w:space="1" w:color="auto"/>
        </w:pBdr>
        <w:rPr>
          <w:lang w:val="es-CO" w:eastAsia="es-ES"/>
        </w:rPr>
      </w:pPr>
      <w:r w:rsidRPr="00DF7495">
        <w:rPr>
          <w:lang w:val="es-CO" w:eastAsia="es-ES"/>
        </w:rPr>
        <w:t xml:space="preserve">Reportar las situaciones de conflictos de interés que se hubiesen presentado en el período del respectivo informe, para lo cual se debe incluir las características e información relevante de dichas situaciones, así como las decisiones y acciones adoptadas por los órganos competentes para la gestión de aquellos. </w:t>
      </w:r>
    </w:p>
    <w:p w14:paraId="750B4EB7" w14:textId="77777777" w:rsidR="00D44C2C" w:rsidRPr="00DF7495" w:rsidRDefault="00D44C2C" w:rsidP="007C1418">
      <w:pPr>
        <w:pBdr>
          <w:left w:val="single" w:sz="4" w:space="1" w:color="auto"/>
        </w:pBdr>
        <w:rPr>
          <w:lang w:val="es-CO"/>
        </w:rPr>
      </w:pPr>
    </w:p>
    <w:p w14:paraId="52FE6076" w14:textId="28BC14D4" w:rsidR="00DE06D9" w:rsidRPr="00DF7495" w:rsidRDefault="00DE06D9" w:rsidP="007C1418">
      <w:pPr>
        <w:pStyle w:val="Ttulo3"/>
        <w:pBdr>
          <w:left w:val="single" w:sz="4" w:space="1" w:color="auto"/>
        </w:pBdr>
        <w:rPr>
          <w:rFonts w:cs="Arial"/>
          <w:bCs w:val="0"/>
          <w:szCs w:val="16"/>
          <w:lang w:val="es-CO"/>
        </w:rPr>
      </w:pPr>
      <w:r w:rsidRPr="00DF7495">
        <w:rPr>
          <w:rFonts w:cs="Arial"/>
          <w:bCs w:val="0"/>
          <w:szCs w:val="16"/>
          <w:lang w:val="es-CO"/>
        </w:rPr>
        <w:t>Información financiera del portafolio</w:t>
      </w:r>
    </w:p>
    <w:p w14:paraId="0BB68041" w14:textId="736301DF" w:rsidR="00DE06D9" w:rsidRPr="00DF7495" w:rsidRDefault="00DE06D9" w:rsidP="007C1418">
      <w:pPr>
        <w:pBdr>
          <w:left w:val="single" w:sz="4" w:space="1" w:color="auto"/>
        </w:pBdr>
        <w:rPr>
          <w:lang w:val="es-CO" w:eastAsia="es-ES"/>
        </w:rPr>
      </w:pPr>
    </w:p>
    <w:p w14:paraId="4B477A97" w14:textId="655B289C" w:rsidR="00DE06D9" w:rsidRPr="00DF7495" w:rsidRDefault="00DE06D9" w:rsidP="007C1418">
      <w:pPr>
        <w:pBdr>
          <w:left w:val="single" w:sz="4" w:space="1" w:color="auto"/>
        </w:pBdr>
        <w:rPr>
          <w:lang w:val="es-CO" w:eastAsia="es-ES"/>
        </w:rPr>
      </w:pPr>
      <w:r w:rsidRPr="00DF7495">
        <w:rPr>
          <w:lang w:val="es-CO" w:eastAsia="es-ES"/>
        </w:rPr>
        <w:t xml:space="preserve">El informe de rendición de cuentas de la sociedad administradora debe estar acompañado de un reporte de los activos que componen </w:t>
      </w:r>
      <w:r w:rsidR="00621F3E" w:rsidRPr="00DF7495">
        <w:rPr>
          <w:lang w:val="es-CO" w:eastAsia="es-ES"/>
        </w:rPr>
        <w:t>cada</w:t>
      </w:r>
      <w:r w:rsidRPr="00DF7495">
        <w:rPr>
          <w:lang w:val="es-CO" w:eastAsia="es-ES"/>
        </w:rPr>
        <w:t xml:space="preserve"> uno de los portafolios a la fecha de corte de los</w:t>
      </w:r>
      <w:r w:rsidR="00946017">
        <w:rPr>
          <w:lang w:val="es-CO" w:eastAsia="es-ES"/>
        </w:rPr>
        <w:t xml:space="preserve"> meses</w:t>
      </w:r>
      <w:r w:rsidRPr="00DF7495">
        <w:rPr>
          <w:lang w:val="es-CO" w:eastAsia="es-ES"/>
        </w:rPr>
        <w:t xml:space="preserve"> incluidos en el informe. Para el efecto, el documento que contenga la rendición de cuentas de la sociedad administradora debe incluir el vínculo a la página web de la </w:t>
      </w:r>
      <w:r w:rsidR="00B734D1" w:rsidRPr="00DF7495">
        <w:rPr>
          <w:lang w:val="es-CO" w:eastAsia="es-ES"/>
        </w:rPr>
        <w:t>SFC</w:t>
      </w:r>
      <w:r w:rsidRPr="00DF7495">
        <w:rPr>
          <w:lang w:val="es-CO" w:eastAsia="es-ES"/>
        </w:rPr>
        <w:t xml:space="preserve"> en el cual se puede acceder al mencionado reporte por cada portafolio.</w:t>
      </w:r>
    </w:p>
    <w:p w14:paraId="384BB40F" w14:textId="77777777" w:rsidR="00DE06D9" w:rsidRPr="00DF7495" w:rsidRDefault="00DE06D9" w:rsidP="007C1418">
      <w:pPr>
        <w:pBdr>
          <w:left w:val="single" w:sz="4" w:space="1" w:color="auto"/>
        </w:pBdr>
        <w:rPr>
          <w:lang w:val="es-CO" w:eastAsia="es-ES"/>
        </w:rPr>
      </w:pPr>
    </w:p>
    <w:p w14:paraId="0D611CB0" w14:textId="3E2CAD3A" w:rsidR="00943B45" w:rsidRPr="00DF7495" w:rsidRDefault="00943B45" w:rsidP="007C1418">
      <w:pPr>
        <w:pStyle w:val="Ttulo3"/>
        <w:pBdr>
          <w:left w:val="single" w:sz="4" w:space="1" w:color="auto"/>
        </w:pBdr>
        <w:rPr>
          <w:rFonts w:cs="Arial"/>
          <w:b/>
          <w:szCs w:val="16"/>
          <w:lang w:val="es-CO"/>
        </w:rPr>
      </w:pPr>
      <w:r w:rsidRPr="00DF7495">
        <w:rPr>
          <w:lang w:val="es-CO"/>
        </w:rPr>
        <w:t xml:space="preserve">Estados financieros y sus notas </w:t>
      </w:r>
    </w:p>
    <w:p w14:paraId="619643E8" w14:textId="77777777" w:rsidR="00943B45" w:rsidRPr="00DF7495" w:rsidRDefault="00943B45" w:rsidP="007C1418">
      <w:pPr>
        <w:pBdr>
          <w:left w:val="single" w:sz="4" w:space="1" w:color="auto"/>
        </w:pBdr>
        <w:rPr>
          <w:lang w:val="es-CO"/>
        </w:rPr>
      </w:pPr>
    </w:p>
    <w:p w14:paraId="4CD653A7" w14:textId="2522EA59" w:rsidR="007A59F9" w:rsidRPr="00DF7495" w:rsidRDefault="00943B45" w:rsidP="007C1418">
      <w:pPr>
        <w:pBdr>
          <w:left w:val="single" w:sz="4" w:space="1" w:color="auto"/>
        </w:pBdr>
        <w:rPr>
          <w:lang w:val="es-CO"/>
        </w:rPr>
      </w:pPr>
      <w:r w:rsidRPr="00DF7495">
        <w:rPr>
          <w:lang w:val="es-CO"/>
        </w:rPr>
        <w:t xml:space="preserve">El informe de rendición de cuentas debe incluir </w:t>
      </w:r>
      <w:r w:rsidR="002F051F" w:rsidRPr="00DF7495">
        <w:rPr>
          <w:lang w:val="es-CO" w:eastAsia="es-ES"/>
        </w:rPr>
        <w:t xml:space="preserve">el vínculo a la página web de la sociedad </w:t>
      </w:r>
      <w:r w:rsidR="00223849" w:rsidRPr="00DF7495">
        <w:rPr>
          <w:lang w:val="es-CO" w:eastAsia="es-ES"/>
        </w:rPr>
        <w:t>administradora</w:t>
      </w:r>
      <w:r w:rsidR="002F051F" w:rsidRPr="00DF7495">
        <w:rPr>
          <w:lang w:val="es-CO" w:eastAsia="es-ES"/>
        </w:rPr>
        <w:t xml:space="preserve"> </w:t>
      </w:r>
      <w:r w:rsidR="00223849" w:rsidRPr="00DF7495">
        <w:rPr>
          <w:lang w:val="es-CO" w:eastAsia="es-ES"/>
        </w:rPr>
        <w:t xml:space="preserve">en la cual se pueda acceder a los estados financieros </w:t>
      </w:r>
      <w:r w:rsidR="004C46B9" w:rsidRPr="00DF7495">
        <w:rPr>
          <w:lang w:val="es-CO" w:eastAsia="es-ES"/>
        </w:rPr>
        <w:t xml:space="preserve">del </w:t>
      </w:r>
      <w:r w:rsidR="00505AC7" w:rsidRPr="00DF7495">
        <w:rPr>
          <w:lang w:val="es-CO" w:eastAsia="es-ES"/>
        </w:rPr>
        <w:t>FVP</w:t>
      </w:r>
      <w:r w:rsidR="004C46B9" w:rsidRPr="00DF7495">
        <w:rPr>
          <w:lang w:val="es-CO" w:eastAsia="es-ES"/>
        </w:rPr>
        <w:t>.</w:t>
      </w:r>
    </w:p>
    <w:p w14:paraId="3A10EA87" w14:textId="6D0E55F9" w:rsidR="0077731E" w:rsidRPr="00DF7495" w:rsidRDefault="0077731E" w:rsidP="007C1418">
      <w:pPr>
        <w:pBdr>
          <w:left w:val="single" w:sz="4" w:space="1" w:color="auto"/>
        </w:pBdr>
        <w:rPr>
          <w:lang w:val="es-CO"/>
        </w:rPr>
      </w:pPr>
    </w:p>
    <w:p w14:paraId="10F658AF" w14:textId="54DA2B01" w:rsidR="00BB4161" w:rsidRPr="00DF7495" w:rsidRDefault="00D70FD3" w:rsidP="007C1418">
      <w:pPr>
        <w:pStyle w:val="Ttulo2"/>
        <w:pBdr>
          <w:left w:val="single" w:sz="4" w:space="1" w:color="auto"/>
        </w:pBdr>
        <w:rPr>
          <w:lang w:val="es-CO"/>
        </w:rPr>
      </w:pPr>
      <w:r w:rsidRPr="00DF7495">
        <w:rPr>
          <w:lang w:val="es-CO"/>
        </w:rPr>
        <w:t xml:space="preserve">Ficha técnica </w:t>
      </w:r>
    </w:p>
    <w:p w14:paraId="09572C3A" w14:textId="77777777" w:rsidR="0077731E" w:rsidRPr="00DF7495" w:rsidRDefault="0077731E" w:rsidP="007C1418">
      <w:pPr>
        <w:pBdr>
          <w:left w:val="single" w:sz="4" w:space="1" w:color="auto"/>
        </w:pBdr>
        <w:rPr>
          <w:lang w:val="es-CO"/>
        </w:rPr>
      </w:pPr>
    </w:p>
    <w:p w14:paraId="4BC68F8D" w14:textId="0296C3FE" w:rsidR="000A0758" w:rsidRPr="00DF7495" w:rsidRDefault="000A0758" w:rsidP="007C1418">
      <w:pPr>
        <w:pBdr>
          <w:left w:val="single" w:sz="4" w:space="1" w:color="auto"/>
        </w:pBdr>
        <w:rPr>
          <w:lang w:val="es-CO"/>
        </w:rPr>
      </w:pPr>
      <w:r w:rsidRPr="00DF7495">
        <w:rPr>
          <w:lang w:val="es-CO"/>
        </w:rPr>
        <w:t xml:space="preserve">La ficha técnica debe implementarse de conformidad con lo establecido en el “ANEXO </w:t>
      </w:r>
      <w:r w:rsidR="00AB0BC2" w:rsidRPr="00DF7495">
        <w:rPr>
          <w:lang w:val="es-CO"/>
        </w:rPr>
        <w:t>2</w:t>
      </w:r>
      <w:r w:rsidR="001821C3" w:rsidRPr="00DF7495">
        <w:rPr>
          <w:lang w:val="es-CO"/>
        </w:rPr>
        <w:t>:</w:t>
      </w:r>
      <w:r w:rsidRPr="00DF7495">
        <w:rPr>
          <w:lang w:val="es-CO"/>
        </w:rPr>
        <w:t xml:space="preserve"> </w:t>
      </w:r>
      <w:r w:rsidR="001821C3" w:rsidRPr="00DF7495">
        <w:rPr>
          <w:lang w:val="es-CO"/>
        </w:rPr>
        <w:t>FICHA TÉCNICA PORTAFOLIOS DE FONDOS DE PENSIONES VOLUNTARIAS</w:t>
      </w:r>
      <w:r w:rsidRPr="00DF7495">
        <w:rPr>
          <w:lang w:val="es-CO"/>
        </w:rPr>
        <w:t xml:space="preserve">” del presente </w:t>
      </w:r>
      <w:r w:rsidR="002C1312" w:rsidRPr="00DF7495">
        <w:rPr>
          <w:lang w:val="es-CO"/>
        </w:rPr>
        <w:t>Capítulo</w:t>
      </w:r>
      <w:r w:rsidRPr="00DF7495">
        <w:rPr>
          <w:lang w:val="es-CO"/>
        </w:rPr>
        <w:t>.</w:t>
      </w:r>
    </w:p>
    <w:p w14:paraId="1EE92BDF" w14:textId="77777777" w:rsidR="00150B54" w:rsidRPr="00DF7495" w:rsidRDefault="00150B54" w:rsidP="007C1418">
      <w:pPr>
        <w:pBdr>
          <w:left w:val="single" w:sz="4" w:space="1" w:color="auto"/>
        </w:pBdr>
        <w:rPr>
          <w:lang w:val="es-CO"/>
        </w:rPr>
      </w:pPr>
    </w:p>
    <w:p w14:paraId="570E5D91" w14:textId="32F347CC" w:rsidR="00FA334A" w:rsidRPr="00DF7495" w:rsidRDefault="0007655B" w:rsidP="007C1418">
      <w:pPr>
        <w:pBdr>
          <w:left w:val="single" w:sz="4" w:space="1" w:color="auto"/>
        </w:pBdr>
        <w:rPr>
          <w:lang w:val="es-CO"/>
        </w:rPr>
      </w:pPr>
      <w:r w:rsidRPr="00DF7495">
        <w:rPr>
          <w:lang w:val="es-CO"/>
        </w:rPr>
        <w:t>La ficha técnica debe actualizarse y publicarse mensualmente dentro de los cinco (5) días hábiles siguientes al último día calendario del mes. La fecha de corte de la información será el último día calendario del mes que se está informando. Adicionalmente, se debe mantener en la página web las fichas técnicas correspondientes a los últimos</w:t>
      </w:r>
      <w:r w:rsidR="00C5742F" w:rsidRPr="00DF7495">
        <w:rPr>
          <w:lang w:val="es-CO"/>
        </w:rPr>
        <w:t xml:space="preserve"> doce</w:t>
      </w:r>
      <w:r w:rsidRPr="00DF7495">
        <w:rPr>
          <w:lang w:val="es-CO"/>
        </w:rPr>
        <w:t xml:space="preserve"> (</w:t>
      </w:r>
      <w:r w:rsidR="00C5742F" w:rsidRPr="00DF7495">
        <w:rPr>
          <w:lang w:val="es-CO"/>
        </w:rPr>
        <w:t>12</w:t>
      </w:r>
      <w:r w:rsidRPr="00DF7495">
        <w:rPr>
          <w:lang w:val="es-CO"/>
        </w:rPr>
        <w:t>) meses.</w:t>
      </w:r>
    </w:p>
    <w:p w14:paraId="4B89739C" w14:textId="77777777" w:rsidR="00450368" w:rsidRPr="00DF7495" w:rsidRDefault="00450368" w:rsidP="007C1418">
      <w:pPr>
        <w:pBdr>
          <w:left w:val="single" w:sz="4" w:space="1" w:color="auto"/>
        </w:pBdr>
        <w:rPr>
          <w:lang w:val="es-CO"/>
        </w:rPr>
      </w:pPr>
    </w:p>
    <w:p w14:paraId="21C0B9A4" w14:textId="77777777" w:rsidR="00450368" w:rsidRPr="00DF7495" w:rsidRDefault="00450368" w:rsidP="007C1418">
      <w:pPr>
        <w:pStyle w:val="Ttulo2"/>
        <w:pBdr>
          <w:left w:val="single" w:sz="4" w:space="1" w:color="auto"/>
        </w:pBdr>
        <w:rPr>
          <w:lang w:val="es-CO"/>
        </w:rPr>
      </w:pPr>
      <w:r w:rsidRPr="00DF7495">
        <w:rPr>
          <w:lang w:val="es-CO"/>
        </w:rPr>
        <w:t xml:space="preserve">Extractos </w:t>
      </w:r>
    </w:p>
    <w:p w14:paraId="799E8BA3" w14:textId="77777777" w:rsidR="00450368" w:rsidRPr="00DF7495" w:rsidRDefault="00450368" w:rsidP="007C1418">
      <w:pPr>
        <w:pBdr>
          <w:left w:val="single" w:sz="4" w:space="1" w:color="auto"/>
        </w:pBdr>
        <w:rPr>
          <w:lang w:val="es-CO" w:eastAsia="es-ES"/>
        </w:rPr>
      </w:pPr>
    </w:p>
    <w:p w14:paraId="525FDBDB" w14:textId="167C50E2" w:rsidR="00450368" w:rsidRPr="00DF7495" w:rsidRDefault="00450368" w:rsidP="007C1418">
      <w:pPr>
        <w:pBdr>
          <w:left w:val="single" w:sz="4" w:space="1" w:color="auto"/>
        </w:pBdr>
        <w:rPr>
          <w:szCs w:val="16"/>
          <w:lang w:val="es-CO"/>
        </w:rPr>
      </w:pPr>
      <w:r w:rsidRPr="00DF7495">
        <w:rPr>
          <w:szCs w:val="16"/>
          <w:lang w:val="es-CO"/>
        </w:rPr>
        <w:t xml:space="preserve">Las sociedades administradoras de FVP deben revelar periódicamente a sus partícipes </w:t>
      </w:r>
      <w:r w:rsidRPr="00DF7495">
        <w:rPr>
          <w:lang w:val="es-CO"/>
        </w:rPr>
        <w:t>el estado de su inversión y los movimientos de cuenta en</w:t>
      </w:r>
      <w:r w:rsidR="005D1081" w:rsidRPr="00DF7495">
        <w:rPr>
          <w:lang w:val="es-CO"/>
        </w:rPr>
        <w:t xml:space="preserve"> el</w:t>
      </w:r>
      <w:r w:rsidRPr="00DF7495">
        <w:rPr>
          <w:lang w:val="es-CO"/>
        </w:rPr>
        <w:t xml:space="preserve"> respectivo FVP. Para ello, el extracto debe ajustarse al contenido mínimo previsto en el “ANEXO </w:t>
      </w:r>
      <w:r w:rsidR="00D01ADD" w:rsidRPr="00DF7495">
        <w:rPr>
          <w:lang w:val="es-CO"/>
        </w:rPr>
        <w:t>1</w:t>
      </w:r>
      <w:r w:rsidRPr="00DF7495">
        <w:rPr>
          <w:lang w:val="es-CO"/>
        </w:rPr>
        <w:t xml:space="preserve">: EXTRACTOS DE FONDOS DE PENSIONES VOLUNTARIAS” del presente Capítulo. </w:t>
      </w:r>
    </w:p>
    <w:p w14:paraId="42825346" w14:textId="77777777" w:rsidR="00450368" w:rsidRPr="00DF7495" w:rsidRDefault="00450368" w:rsidP="007C1418">
      <w:pPr>
        <w:pBdr>
          <w:left w:val="single" w:sz="4" w:space="1" w:color="auto"/>
        </w:pBdr>
        <w:rPr>
          <w:lang w:val="es-CO"/>
        </w:rPr>
      </w:pPr>
    </w:p>
    <w:p w14:paraId="1CC181CB" w14:textId="6A1AFCD9" w:rsidR="00450368" w:rsidRPr="00DF7495" w:rsidRDefault="00450368" w:rsidP="007C1418">
      <w:pPr>
        <w:pBdr>
          <w:left w:val="single" w:sz="4" w:space="1" w:color="auto"/>
        </w:pBdr>
        <w:rPr>
          <w:lang w:val="es-CO"/>
        </w:rPr>
      </w:pPr>
      <w:r w:rsidRPr="00DF7495">
        <w:rPr>
          <w:lang w:val="es-CO"/>
        </w:rPr>
        <w:t>Los extractos deben ser remitidos</w:t>
      </w:r>
      <w:r w:rsidR="0003121F" w:rsidRPr="00DF7495">
        <w:rPr>
          <w:lang w:val="es-CO"/>
        </w:rPr>
        <w:t xml:space="preserve">, </w:t>
      </w:r>
      <w:r w:rsidRPr="00DF7495">
        <w:rPr>
          <w:lang w:val="es-CO"/>
        </w:rPr>
        <w:t>por lo menos</w:t>
      </w:r>
      <w:r w:rsidR="0003121F" w:rsidRPr="00DF7495">
        <w:rPr>
          <w:lang w:val="es-CO"/>
        </w:rPr>
        <w:t>,</w:t>
      </w:r>
      <w:r w:rsidRPr="00DF7495">
        <w:rPr>
          <w:lang w:val="es-CO"/>
        </w:rPr>
        <w:t xml:space="preserve"> trimestralmente a los partícipes por el medio previsto en el reglamento de funcionamiento, a más tardar, dentro de los 10 días hábiles siguientes al último día calendario del trimestre que se informa. Adicionalmente, los extractos deben quedar a disposición de los </w:t>
      </w:r>
      <w:r w:rsidR="003D0079" w:rsidRPr="00DF7495">
        <w:rPr>
          <w:lang w:val="es-CO"/>
        </w:rPr>
        <w:t>partícipes</w:t>
      </w:r>
      <w:r w:rsidRPr="00DF7495">
        <w:rPr>
          <w:lang w:val="es-CO"/>
        </w:rPr>
        <w:t xml:space="preserve"> para su consulta a través de la página web de la respectiva entidad.  </w:t>
      </w:r>
    </w:p>
    <w:p w14:paraId="5D2A9865" w14:textId="77777777" w:rsidR="000A0758" w:rsidRPr="00DF7495" w:rsidRDefault="000A0758" w:rsidP="007C1418">
      <w:pPr>
        <w:pBdr>
          <w:left w:val="single" w:sz="4" w:space="1" w:color="auto"/>
        </w:pBdr>
        <w:rPr>
          <w:lang w:val="es-CO"/>
        </w:rPr>
      </w:pPr>
    </w:p>
    <w:p w14:paraId="01526243" w14:textId="043AB713" w:rsidR="004305BE" w:rsidRPr="00DF7495" w:rsidRDefault="00940F00" w:rsidP="007C1418">
      <w:pPr>
        <w:pStyle w:val="Ttulo2"/>
        <w:pBdr>
          <w:left w:val="single" w:sz="4" w:space="1" w:color="auto"/>
        </w:pBdr>
        <w:rPr>
          <w:lang w:val="es-CO"/>
        </w:rPr>
      </w:pPr>
      <w:r w:rsidRPr="00DF7495">
        <w:rPr>
          <w:lang w:val="es-CO"/>
        </w:rPr>
        <w:t xml:space="preserve">Publicación de información en la página web de la sociedad administradora </w:t>
      </w:r>
    </w:p>
    <w:p w14:paraId="74112225" w14:textId="77777777" w:rsidR="00940F00" w:rsidRPr="00DF7495" w:rsidRDefault="00940F00" w:rsidP="007C1418">
      <w:pPr>
        <w:pBdr>
          <w:left w:val="single" w:sz="4" w:space="1" w:color="auto"/>
        </w:pBdr>
        <w:rPr>
          <w:lang w:val="es-CO" w:eastAsia="es-ES"/>
        </w:rPr>
      </w:pPr>
    </w:p>
    <w:p w14:paraId="2AE7BF4D" w14:textId="507EC4F9" w:rsidR="00BC2220" w:rsidRPr="00DF7495" w:rsidRDefault="00C525CB" w:rsidP="007C1418">
      <w:pPr>
        <w:pBdr>
          <w:left w:val="single" w:sz="4" w:space="1" w:color="auto"/>
        </w:pBdr>
        <w:rPr>
          <w:lang w:val="es-CO"/>
        </w:rPr>
      </w:pPr>
      <w:r w:rsidRPr="00DF7495">
        <w:rPr>
          <w:lang w:val="es-CO"/>
        </w:rPr>
        <w:t xml:space="preserve">La sociedad administradora debe definir los mecanismos para asegurar que la información acerca de la actividad de administración de </w:t>
      </w:r>
      <w:r w:rsidR="002F4F4E" w:rsidRPr="00DF7495">
        <w:rPr>
          <w:rStyle w:val="DeltaViewInsertion"/>
          <w:rFonts w:cs="Arial"/>
          <w:color w:val="auto"/>
          <w:szCs w:val="16"/>
          <w:u w:val="none"/>
          <w:lang w:val="es-CO"/>
        </w:rPr>
        <w:t>FVP</w:t>
      </w:r>
      <w:r w:rsidRPr="00DF7495">
        <w:rPr>
          <w:lang w:val="es-CO"/>
        </w:rPr>
        <w:t xml:space="preserve"> se encuentre en la página </w:t>
      </w:r>
      <w:r w:rsidR="002F4F4E" w:rsidRPr="00DF7495">
        <w:rPr>
          <w:lang w:val="es-CO"/>
        </w:rPr>
        <w:t>web</w:t>
      </w:r>
      <w:r w:rsidRPr="00DF7495">
        <w:rPr>
          <w:lang w:val="es-CO"/>
        </w:rPr>
        <w:t xml:space="preserve"> de la sociedad administradora </w:t>
      </w:r>
      <w:r w:rsidR="00060754" w:rsidRPr="00DF7495">
        <w:rPr>
          <w:lang w:val="es-CO"/>
        </w:rPr>
        <w:t>de</w:t>
      </w:r>
      <w:r w:rsidRPr="00DF7495">
        <w:rPr>
          <w:lang w:val="es-CO"/>
        </w:rPr>
        <w:t xml:space="preserve"> </w:t>
      </w:r>
      <w:r w:rsidR="002F4F4E" w:rsidRPr="00DF7495">
        <w:rPr>
          <w:lang w:val="es-CO"/>
        </w:rPr>
        <w:t>manera</w:t>
      </w:r>
      <w:r w:rsidRPr="00DF7495">
        <w:rPr>
          <w:lang w:val="es-CO"/>
        </w:rPr>
        <w:t xml:space="preserve"> sobresaliente. </w:t>
      </w:r>
      <w:r w:rsidR="002F4F4E" w:rsidRPr="00DF7495">
        <w:rPr>
          <w:lang w:val="es-CO"/>
        </w:rPr>
        <w:t>Para estos efectos, s</w:t>
      </w:r>
      <w:r w:rsidRPr="00DF7495">
        <w:rPr>
          <w:lang w:val="es-CO"/>
        </w:rPr>
        <w:t xml:space="preserve">e debe incluir en la página de inicio de la </w:t>
      </w:r>
      <w:r w:rsidR="002F4F4E" w:rsidRPr="00DF7495">
        <w:rPr>
          <w:lang w:val="es-CO"/>
        </w:rPr>
        <w:t>sociedad administradora</w:t>
      </w:r>
      <w:r w:rsidRPr="00DF7495">
        <w:rPr>
          <w:lang w:val="es-CO"/>
        </w:rPr>
        <w:t xml:space="preserve"> un ícono independiente bajo el nombre “FONDOS </w:t>
      </w:r>
      <w:r w:rsidR="002F4F4E" w:rsidRPr="00DF7495">
        <w:rPr>
          <w:lang w:val="es-CO"/>
        </w:rPr>
        <w:t>VOLUNTARIOS DE PENSIÓN</w:t>
      </w:r>
      <w:r w:rsidRPr="00DF7495">
        <w:rPr>
          <w:lang w:val="es-CO"/>
        </w:rPr>
        <w:t xml:space="preserve">”, </w:t>
      </w:r>
      <w:r w:rsidR="002F4F4E" w:rsidRPr="00DF7495">
        <w:rPr>
          <w:lang w:val="es-CO"/>
        </w:rPr>
        <w:t>en</w:t>
      </w:r>
      <w:r w:rsidR="00F019C7" w:rsidRPr="00DF7495">
        <w:rPr>
          <w:lang w:val="es-CO"/>
        </w:rPr>
        <w:t xml:space="preserve"> el</w:t>
      </w:r>
      <w:r w:rsidR="002F4F4E" w:rsidRPr="00DF7495">
        <w:rPr>
          <w:lang w:val="es-CO"/>
        </w:rPr>
        <w:t xml:space="preserve"> cual</w:t>
      </w:r>
      <w:r w:rsidRPr="00DF7495">
        <w:rPr>
          <w:lang w:val="es-CO"/>
        </w:rPr>
        <w:t xml:space="preserve"> </w:t>
      </w:r>
      <w:r w:rsidR="00C1076D" w:rsidRPr="00DF7495">
        <w:rPr>
          <w:lang w:val="es-CO"/>
        </w:rPr>
        <w:t xml:space="preserve">estarán disponibles </w:t>
      </w:r>
      <w:r w:rsidR="00C0566F" w:rsidRPr="00DF7495">
        <w:rPr>
          <w:lang w:val="es-CO"/>
        </w:rPr>
        <w:t xml:space="preserve">(i) </w:t>
      </w:r>
      <w:r w:rsidR="00455C07" w:rsidRPr="00DF7495">
        <w:rPr>
          <w:lang w:val="es-CO"/>
        </w:rPr>
        <w:t>los</w:t>
      </w:r>
      <w:r w:rsidR="00C0566F" w:rsidRPr="00DF7495">
        <w:rPr>
          <w:lang w:val="es-CO"/>
        </w:rPr>
        <w:t xml:space="preserve"> reglamento</w:t>
      </w:r>
      <w:r w:rsidR="00631E72" w:rsidRPr="00DF7495">
        <w:rPr>
          <w:lang w:val="es-CO"/>
        </w:rPr>
        <w:t>s</w:t>
      </w:r>
      <w:r w:rsidR="00C0566F" w:rsidRPr="00DF7495">
        <w:rPr>
          <w:lang w:val="es-CO"/>
        </w:rPr>
        <w:t xml:space="preserve"> de funcionamiento, (ii) </w:t>
      </w:r>
      <w:r w:rsidR="00455C07" w:rsidRPr="00DF7495">
        <w:rPr>
          <w:lang w:val="es-CO"/>
        </w:rPr>
        <w:t xml:space="preserve">los </w:t>
      </w:r>
      <w:r w:rsidR="00C0566F" w:rsidRPr="00DF7495">
        <w:rPr>
          <w:lang w:val="es-CO"/>
        </w:rPr>
        <w:t>prospecto</w:t>
      </w:r>
      <w:r w:rsidR="00455C07" w:rsidRPr="00DF7495">
        <w:rPr>
          <w:lang w:val="es-CO"/>
        </w:rPr>
        <w:t>s</w:t>
      </w:r>
      <w:r w:rsidR="00C0566F" w:rsidRPr="00DF7495">
        <w:rPr>
          <w:lang w:val="es-CO"/>
        </w:rPr>
        <w:t xml:space="preserve"> de los portafolios</w:t>
      </w:r>
      <w:r w:rsidR="004F0CE1" w:rsidRPr="00DF7495">
        <w:rPr>
          <w:lang w:val="es-CO"/>
        </w:rPr>
        <w:t>,</w:t>
      </w:r>
      <w:r w:rsidR="00C0566F" w:rsidRPr="00DF7495">
        <w:rPr>
          <w:lang w:val="es-CO"/>
        </w:rPr>
        <w:t xml:space="preserve"> (iii) </w:t>
      </w:r>
      <w:r w:rsidR="00B445CC" w:rsidRPr="00DF7495">
        <w:rPr>
          <w:lang w:val="es-CO"/>
        </w:rPr>
        <w:t xml:space="preserve">las </w:t>
      </w:r>
      <w:r w:rsidR="00C0566F" w:rsidRPr="00DF7495">
        <w:rPr>
          <w:lang w:val="es-CO"/>
        </w:rPr>
        <w:t>fichas técnicas</w:t>
      </w:r>
      <w:r w:rsidR="004F0CE1" w:rsidRPr="00DF7495">
        <w:rPr>
          <w:lang w:val="es-CO"/>
        </w:rPr>
        <w:t>,</w:t>
      </w:r>
      <w:r w:rsidR="00C0566F" w:rsidRPr="00DF7495">
        <w:rPr>
          <w:lang w:val="es-CO"/>
        </w:rPr>
        <w:t xml:space="preserve"> (iv) </w:t>
      </w:r>
      <w:r w:rsidR="00B445CC" w:rsidRPr="00DF7495">
        <w:rPr>
          <w:lang w:val="es-CO"/>
        </w:rPr>
        <w:t xml:space="preserve">los </w:t>
      </w:r>
      <w:r w:rsidR="00C0566F" w:rsidRPr="00DF7495">
        <w:rPr>
          <w:lang w:val="es-CO"/>
        </w:rPr>
        <w:t>informes de rendiciones de cuentas</w:t>
      </w:r>
      <w:r w:rsidR="004F0CE1" w:rsidRPr="00DF7495">
        <w:rPr>
          <w:lang w:val="es-CO"/>
        </w:rPr>
        <w:t>, y (v) el documento que contiene la descripción general de las alternativas estandarizadas</w:t>
      </w:r>
      <w:r w:rsidR="00C0566F" w:rsidRPr="00DF7495">
        <w:rPr>
          <w:lang w:val="es-CO"/>
        </w:rPr>
        <w:t xml:space="preserve">. </w:t>
      </w:r>
      <w:r w:rsidR="00C71098" w:rsidRPr="00DF7495">
        <w:rPr>
          <w:lang w:val="es-CO"/>
        </w:rPr>
        <w:t>Adicionalmen</w:t>
      </w:r>
      <w:r w:rsidR="00480266" w:rsidRPr="00DF7495">
        <w:rPr>
          <w:lang w:val="es-CO"/>
        </w:rPr>
        <w:t xml:space="preserve">te, en los </w:t>
      </w:r>
      <w:r w:rsidR="00F019C7" w:rsidRPr="00DF7495">
        <w:rPr>
          <w:lang w:val="es-CO"/>
        </w:rPr>
        <w:t>eventos</w:t>
      </w:r>
      <w:r w:rsidR="00480266" w:rsidRPr="00DF7495">
        <w:rPr>
          <w:lang w:val="es-CO"/>
        </w:rPr>
        <w:t xml:space="preserve"> en que </w:t>
      </w:r>
      <w:r w:rsidR="00BC2220" w:rsidRPr="00DF7495">
        <w:rPr>
          <w:lang w:val="es-CO"/>
        </w:rPr>
        <w:t xml:space="preserve">la sociedad administradora </w:t>
      </w:r>
      <w:r w:rsidR="00A553AF" w:rsidRPr="00DF7495">
        <w:rPr>
          <w:lang w:val="es-CO"/>
        </w:rPr>
        <w:t>introduzca</w:t>
      </w:r>
      <w:r w:rsidR="00452D7F" w:rsidRPr="00DF7495">
        <w:rPr>
          <w:lang w:val="es-CO"/>
        </w:rPr>
        <w:t xml:space="preserve"> modificaciones al reglamento de funcionamiento que impliquen </w:t>
      </w:r>
      <w:r w:rsidR="002B46DA" w:rsidRPr="00DF7495">
        <w:rPr>
          <w:lang w:val="es-CO"/>
        </w:rPr>
        <w:t xml:space="preserve">afectaciones en los derechos económicos de los partícipes, </w:t>
      </w:r>
      <w:r w:rsidR="002F10E3" w:rsidRPr="00DF7495">
        <w:rPr>
          <w:lang w:val="es-CO"/>
        </w:rPr>
        <w:t xml:space="preserve">en la página web también </w:t>
      </w:r>
      <w:r w:rsidR="00F51B7D" w:rsidRPr="00DF7495">
        <w:rPr>
          <w:lang w:val="es-CO"/>
        </w:rPr>
        <w:t xml:space="preserve">se </w:t>
      </w:r>
      <w:r w:rsidR="00011BEA" w:rsidRPr="00DF7495">
        <w:rPr>
          <w:lang w:val="es-CO"/>
        </w:rPr>
        <w:t xml:space="preserve">debe </w:t>
      </w:r>
      <w:r w:rsidR="000B6426" w:rsidRPr="00DF7495">
        <w:rPr>
          <w:lang w:val="es-CO"/>
        </w:rPr>
        <w:t>incluir</w:t>
      </w:r>
      <w:r w:rsidR="00011BEA" w:rsidRPr="00DF7495">
        <w:rPr>
          <w:lang w:val="es-CO"/>
        </w:rPr>
        <w:t xml:space="preserve"> el </w:t>
      </w:r>
      <w:r w:rsidR="00A73E54" w:rsidRPr="00DF7495">
        <w:rPr>
          <w:lang w:val="es-CO"/>
        </w:rPr>
        <w:t xml:space="preserve">aviso </w:t>
      </w:r>
      <w:r w:rsidR="00F51B7D" w:rsidRPr="00DF7495">
        <w:rPr>
          <w:lang w:val="es-CO"/>
        </w:rPr>
        <w:t xml:space="preserve">que fue </w:t>
      </w:r>
      <w:r w:rsidR="00A73E54" w:rsidRPr="00DF7495">
        <w:rPr>
          <w:lang w:val="es-CO"/>
        </w:rPr>
        <w:t>publicado en el diario de amplia circulación nacional</w:t>
      </w:r>
      <w:r w:rsidR="000B5183" w:rsidRPr="00DF7495">
        <w:rPr>
          <w:lang w:val="es-CO"/>
        </w:rPr>
        <w:t xml:space="preserve"> </w:t>
      </w:r>
      <w:r w:rsidR="00477DBA" w:rsidRPr="00DF7495">
        <w:rPr>
          <w:lang w:val="es-CO"/>
        </w:rPr>
        <w:t>en cumplimiento con lo establecido en el artículo 3.1.1.9.6 del Decreto 2555 de 2010.</w:t>
      </w:r>
    </w:p>
    <w:p w14:paraId="017566AC" w14:textId="77777777" w:rsidR="00C525CB" w:rsidRPr="00DF7495" w:rsidRDefault="00C525CB" w:rsidP="007C1418">
      <w:pPr>
        <w:pBdr>
          <w:left w:val="single" w:sz="4" w:space="1" w:color="auto"/>
        </w:pBdr>
        <w:rPr>
          <w:lang w:val="es-CO"/>
        </w:rPr>
      </w:pPr>
    </w:p>
    <w:p w14:paraId="542C1E0E" w14:textId="4D4C07F7" w:rsidR="0036177A" w:rsidRPr="00DF7495" w:rsidRDefault="002704D3" w:rsidP="007C1418">
      <w:pPr>
        <w:pBdr>
          <w:left w:val="single" w:sz="4" w:space="1" w:color="auto"/>
        </w:pBdr>
        <w:rPr>
          <w:lang w:val="es-CO" w:eastAsia="es-ES"/>
        </w:rPr>
      </w:pPr>
      <w:r w:rsidRPr="00DF7495">
        <w:rPr>
          <w:lang w:val="es-CO" w:eastAsia="es-ES"/>
        </w:rPr>
        <w:t xml:space="preserve">En esta misma página web </w:t>
      </w:r>
      <w:r w:rsidR="00C14FAB" w:rsidRPr="00DF7495">
        <w:rPr>
          <w:lang w:val="es-CO" w:eastAsia="es-ES"/>
        </w:rPr>
        <w:t xml:space="preserve">también debe estar disponible </w:t>
      </w:r>
      <w:r w:rsidR="00695821" w:rsidRPr="00DF7495">
        <w:rPr>
          <w:lang w:val="es-CO" w:eastAsia="es-ES"/>
        </w:rPr>
        <w:t xml:space="preserve">un cuadro comparativo </w:t>
      </w:r>
      <w:r w:rsidR="003B7F31" w:rsidRPr="00DF7495">
        <w:rPr>
          <w:lang w:val="es-CO" w:eastAsia="es-ES"/>
        </w:rPr>
        <w:t>con</w:t>
      </w:r>
      <w:r w:rsidR="00695821" w:rsidRPr="00DF7495">
        <w:rPr>
          <w:lang w:val="es-CO" w:eastAsia="es-ES"/>
        </w:rPr>
        <w:t xml:space="preserve"> la </w:t>
      </w:r>
      <w:r w:rsidR="003B7F31" w:rsidRPr="00DF7495">
        <w:rPr>
          <w:lang w:val="es-CO" w:eastAsia="es-ES"/>
        </w:rPr>
        <w:t>información detallada de</w:t>
      </w:r>
      <w:r w:rsidR="00E53167" w:rsidRPr="00DF7495">
        <w:rPr>
          <w:lang w:val="es-CO" w:eastAsia="es-ES"/>
        </w:rPr>
        <w:t xml:space="preserve"> todas </w:t>
      </w:r>
      <w:r w:rsidR="003B7F31" w:rsidRPr="00DF7495">
        <w:rPr>
          <w:lang w:val="es-CO" w:eastAsia="es-ES"/>
        </w:rPr>
        <w:t xml:space="preserve">las comisiones </w:t>
      </w:r>
      <w:r w:rsidR="00084679" w:rsidRPr="00DF7495">
        <w:rPr>
          <w:lang w:val="es-CO" w:eastAsia="es-ES"/>
        </w:rPr>
        <w:t xml:space="preserve">aplicables a los </w:t>
      </w:r>
      <w:r w:rsidR="0017259E" w:rsidRPr="00DF7495">
        <w:rPr>
          <w:lang w:val="es-CO" w:eastAsia="es-ES"/>
        </w:rPr>
        <w:t>partícipes</w:t>
      </w:r>
      <w:r w:rsidR="005D33CC" w:rsidRPr="00DF7495">
        <w:rPr>
          <w:lang w:val="es-CO" w:eastAsia="es-ES"/>
        </w:rPr>
        <w:t xml:space="preserve">, </w:t>
      </w:r>
      <w:r w:rsidR="007C4DDD" w:rsidRPr="00DF7495">
        <w:rPr>
          <w:lang w:val="es-CO" w:eastAsia="es-ES"/>
        </w:rPr>
        <w:t xml:space="preserve">tanto fijas como variables. </w:t>
      </w:r>
      <w:r w:rsidR="00BD75D5" w:rsidRPr="00DF7495">
        <w:rPr>
          <w:lang w:val="es-CO" w:eastAsia="es-ES"/>
        </w:rPr>
        <w:t xml:space="preserve">Para </w:t>
      </w:r>
      <w:r w:rsidR="005D33CC" w:rsidRPr="00DF7495">
        <w:rPr>
          <w:lang w:val="es-CO" w:eastAsia="es-ES"/>
        </w:rPr>
        <w:t>el efecto</w:t>
      </w:r>
      <w:r w:rsidR="00BD75D5" w:rsidRPr="00DF7495">
        <w:rPr>
          <w:lang w:val="es-CO" w:eastAsia="es-ES"/>
        </w:rPr>
        <w:t>, se deb</w:t>
      </w:r>
      <w:r w:rsidR="00DF25C2" w:rsidRPr="00DF7495">
        <w:rPr>
          <w:lang w:val="es-CO" w:eastAsia="es-ES"/>
        </w:rPr>
        <w:t>e</w:t>
      </w:r>
      <w:r w:rsidR="006B13B1" w:rsidRPr="00DF7495">
        <w:rPr>
          <w:lang w:val="es-CO" w:eastAsia="es-ES"/>
        </w:rPr>
        <w:t xml:space="preserve"> identificar </w:t>
      </w:r>
      <w:r w:rsidR="00ED2C57" w:rsidRPr="00DF7495">
        <w:rPr>
          <w:lang w:val="es-CO" w:eastAsia="es-ES"/>
        </w:rPr>
        <w:t xml:space="preserve">el concepto por el cual se realiza el cobro de comisiones, </w:t>
      </w:r>
      <w:r w:rsidR="001773C2" w:rsidRPr="00DF7495">
        <w:rPr>
          <w:lang w:val="es-CO" w:eastAsia="es-ES"/>
        </w:rPr>
        <w:t xml:space="preserve">el porcentaje de comisión aplicable y </w:t>
      </w:r>
      <w:r w:rsidR="00892934" w:rsidRPr="00DF7495">
        <w:rPr>
          <w:lang w:val="es-CO" w:eastAsia="es-ES"/>
        </w:rPr>
        <w:t xml:space="preserve">la base </w:t>
      </w:r>
      <w:r w:rsidR="00741CBD" w:rsidRPr="00DF7495">
        <w:rPr>
          <w:lang w:val="es-CO" w:eastAsia="es-ES"/>
        </w:rPr>
        <w:t>sobre la cual se calcula</w:t>
      </w:r>
      <w:r w:rsidR="001773C2" w:rsidRPr="00DF7495">
        <w:rPr>
          <w:lang w:val="es-CO" w:eastAsia="es-ES"/>
        </w:rPr>
        <w:t xml:space="preserve"> el monto de la comisión, </w:t>
      </w:r>
      <w:r w:rsidR="00ED2C57" w:rsidRPr="00DF7495">
        <w:rPr>
          <w:lang w:val="es-CO" w:eastAsia="es-ES"/>
        </w:rPr>
        <w:t>según lo</w:t>
      </w:r>
      <w:r w:rsidR="0026769E" w:rsidRPr="00DF7495">
        <w:rPr>
          <w:lang w:val="es-CO" w:eastAsia="es-ES"/>
        </w:rPr>
        <w:t xml:space="preserve"> establecido en el </w:t>
      </w:r>
      <w:r w:rsidR="001773C2" w:rsidRPr="00DF7495">
        <w:rPr>
          <w:lang w:val="es-CO" w:eastAsia="es-ES"/>
        </w:rPr>
        <w:t>reglamento</w:t>
      </w:r>
      <w:r w:rsidR="008A23F8" w:rsidRPr="00DF7495">
        <w:rPr>
          <w:lang w:val="es-CO" w:eastAsia="es-ES"/>
        </w:rPr>
        <w:t xml:space="preserve">, incluyendo únicamente </w:t>
      </w:r>
      <w:r w:rsidR="001E3EE4" w:rsidRPr="00DF7495">
        <w:rPr>
          <w:lang w:val="es-CO" w:eastAsia="es-ES"/>
        </w:rPr>
        <w:t xml:space="preserve">los </w:t>
      </w:r>
      <w:r w:rsidR="00DE3F67" w:rsidRPr="00DF7495">
        <w:rPr>
          <w:lang w:val="es-CO" w:eastAsia="es-ES"/>
        </w:rPr>
        <w:t>valores correspondientes a</w:t>
      </w:r>
      <w:r w:rsidR="00B5581D" w:rsidRPr="00DF7495">
        <w:rPr>
          <w:lang w:val="es-CO" w:eastAsia="es-ES"/>
        </w:rPr>
        <w:t xml:space="preserve"> los máximos establecidos en el reglamento.</w:t>
      </w:r>
      <w:r w:rsidR="009C1A21" w:rsidRPr="00DF7495">
        <w:rPr>
          <w:lang w:val="es-CO" w:eastAsia="es-ES"/>
        </w:rPr>
        <w:t xml:space="preserve"> </w:t>
      </w:r>
      <w:r w:rsidR="005234C5" w:rsidRPr="00DF7495">
        <w:rPr>
          <w:lang w:val="es-CO" w:eastAsia="es-ES"/>
        </w:rPr>
        <w:t>El</w:t>
      </w:r>
      <w:r w:rsidR="002005A8" w:rsidRPr="00DF7495">
        <w:rPr>
          <w:lang w:val="es-CO" w:eastAsia="es-ES"/>
        </w:rPr>
        <w:t xml:space="preserve"> cuadro debe ser de fácil comprensión </w:t>
      </w:r>
      <w:r w:rsidR="00892A0C" w:rsidRPr="00DF7495">
        <w:rPr>
          <w:lang w:val="es-CO" w:eastAsia="es-ES"/>
        </w:rPr>
        <w:t xml:space="preserve">y debe contener </w:t>
      </w:r>
      <w:r w:rsidR="00AB77EC" w:rsidRPr="00DF7495">
        <w:rPr>
          <w:lang w:val="es-CO" w:eastAsia="es-ES"/>
        </w:rPr>
        <w:t xml:space="preserve">toda la información necesaria </w:t>
      </w:r>
      <w:r w:rsidR="008B289A" w:rsidRPr="00DF7495">
        <w:rPr>
          <w:lang w:val="es-CO" w:eastAsia="es-ES"/>
        </w:rPr>
        <w:t xml:space="preserve">para </w:t>
      </w:r>
      <w:r w:rsidR="00AB77EC" w:rsidRPr="00DF7495">
        <w:rPr>
          <w:lang w:val="es-CO" w:eastAsia="es-ES"/>
        </w:rPr>
        <w:t xml:space="preserve">que el cliente identifique </w:t>
      </w:r>
      <w:r w:rsidR="006E283D" w:rsidRPr="00DF7495">
        <w:rPr>
          <w:lang w:val="es-CO" w:eastAsia="es-ES"/>
        </w:rPr>
        <w:t xml:space="preserve">la comisión que se le cobrará a partir de su adhesión y en cualquier momento posterior. </w:t>
      </w:r>
    </w:p>
    <w:p w14:paraId="4DB7E03D" w14:textId="77777777" w:rsidR="00267A59" w:rsidRPr="00DF7495" w:rsidRDefault="00267A59" w:rsidP="007C1418">
      <w:pPr>
        <w:pBdr>
          <w:left w:val="single" w:sz="4" w:space="1" w:color="auto"/>
        </w:pBdr>
        <w:rPr>
          <w:lang w:val="es-CO" w:eastAsia="es-ES"/>
        </w:rPr>
      </w:pPr>
    </w:p>
    <w:p w14:paraId="6CCE61B4" w14:textId="288E5243" w:rsidR="00986EC7" w:rsidRPr="00DF7495" w:rsidRDefault="007A59F9" w:rsidP="007C1418">
      <w:pPr>
        <w:pBdr>
          <w:left w:val="single" w:sz="4" w:space="1" w:color="auto"/>
        </w:pBdr>
        <w:rPr>
          <w:lang w:val="es-CO" w:eastAsia="es-ES"/>
        </w:rPr>
      </w:pPr>
      <w:r w:rsidRPr="00DF7495">
        <w:rPr>
          <w:lang w:val="es-CO" w:eastAsia="es-ES"/>
        </w:rPr>
        <w:t>Dicho cuadro comparativo debe</w:t>
      </w:r>
      <w:r w:rsidR="00986EC7" w:rsidRPr="00DF7495">
        <w:rPr>
          <w:lang w:val="es-CO" w:eastAsia="es-ES"/>
        </w:rPr>
        <w:t xml:space="preserve"> incluir</w:t>
      </w:r>
      <w:r w:rsidR="009064A9" w:rsidRPr="00DF7495">
        <w:rPr>
          <w:lang w:val="es-CO" w:eastAsia="es-ES"/>
        </w:rPr>
        <w:t xml:space="preserve"> </w:t>
      </w:r>
      <w:r w:rsidR="009C1A21" w:rsidRPr="00DF7495">
        <w:rPr>
          <w:lang w:val="es-CO" w:eastAsia="es-ES"/>
        </w:rPr>
        <w:t>las comisiones efectivamente cobradas en el año inmediatamente</w:t>
      </w:r>
      <w:r w:rsidR="004766B9" w:rsidRPr="00DF7495">
        <w:rPr>
          <w:lang w:val="es-CO" w:eastAsia="es-ES"/>
        </w:rPr>
        <w:t xml:space="preserve"> anterior</w:t>
      </w:r>
      <w:r w:rsidR="009C1A21" w:rsidRPr="00DF7495">
        <w:rPr>
          <w:lang w:val="es-CO" w:eastAsia="es-ES"/>
        </w:rPr>
        <w:t>,</w:t>
      </w:r>
      <w:r w:rsidR="00E910F7" w:rsidRPr="00DF7495">
        <w:rPr>
          <w:lang w:val="es-CO" w:eastAsia="es-ES"/>
        </w:rPr>
        <w:t xml:space="preserve"> expresad</w:t>
      </w:r>
      <w:r w:rsidR="009064A9" w:rsidRPr="00DF7495">
        <w:rPr>
          <w:lang w:val="es-CO" w:eastAsia="es-ES"/>
        </w:rPr>
        <w:t>as</w:t>
      </w:r>
      <w:r w:rsidR="00E910F7" w:rsidRPr="00DF7495">
        <w:rPr>
          <w:lang w:val="es-CO" w:eastAsia="es-ES"/>
        </w:rPr>
        <w:t xml:space="preserve"> </w:t>
      </w:r>
      <w:r w:rsidR="009064A9" w:rsidRPr="00DF7495">
        <w:rPr>
          <w:lang w:val="es-CO" w:eastAsia="es-ES"/>
        </w:rPr>
        <w:t>como porcentaje de los activos administrados,</w:t>
      </w:r>
      <w:r w:rsidR="009C1A21" w:rsidRPr="00DF7495">
        <w:rPr>
          <w:lang w:val="es-CO" w:eastAsia="es-ES"/>
        </w:rPr>
        <w:t xml:space="preserve"> </w:t>
      </w:r>
      <w:r w:rsidR="006127C4" w:rsidRPr="00DF7495">
        <w:rPr>
          <w:lang w:val="es-CO" w:eastAsia="es-ES"/>
        </w:rPr>
        <w:t xml:space="preserve">la rentabilidad histórica y </w:t>
      </w:r>
      <w:r w:rsidR="002C381C" w:rsidRPr="00DF7495">
        <w:rPr>
          <w:lang w:val="es-CO" w:eastAsia="es-ES"/>
        </w:rPr>
        <w:t>la</w:t>
      </w:r>
      <w:r w:rsidR="006127C4" w:rsidRPr="00DF7495">
        <w:rPr>
          <w:lang w:val="es-CO" w:eastAsia="es-ES"/>
        </w:rPr>
        <w:t xml:space="preserve"> rentabilidad del </w:t>
      </w:r>
      <w:r w:rsidR="001A16DD" w:rsidRPr="00DF7495">
        <w:rPr>
          <w:i/>
          <w:iCs/>
          <w:lang w:val="es-CO" w:eastAsia="es-ES"/>
        </w:rPr>
        <w:t>benchmark</w:t>
      </w:r>
      <w:r w:rsidR="00423FDA" w:rsidRPr="00DF7495">
        <w:rPr>
          <w:lang w:val="es-CO" w:eastAsia="es-ES"/>
        </w:rPr>
        <w:t xml:space="preserve"> </w:t>
      </w:r>
      <w:r w:rsidR="008B237A" w:rsidRPr="00DF7495">
        <w:rPr>
          <w:lang w:val="es-CO" w:eastAsia="es-ES"/>
        </w:rPr>
        <w:t xml:space="preserve">expresados </w:t>
      </w:r>
      <w:r w:rsidR="00FA7561" w:rsidRPr="00DF7495">
        <w:rPr>
          <w:lang w:val="es-CO" w:eastAsia="es-ES"/>
        </w:rPr>
        <w:t xml:space="preserve">en términos </w:t>
      </w:r>
      <w:r w:rsidR="00FA7561" w:rsidRPr="00DF7495">
        <w:rPr>
          <w:lang w:val="es-CO" w:eastAsia="es-ES"/>
        </w:rPr>
        <w:lastRenderedPageBreak/>
        <w:t xml:space="preserve">de </w:t>
      </w:r>
      <w:r w:rsidR="008B237A" w:rsidRPr="00DF7495">
        <w:rPr>
          <w:lang w:val="es-CO" w:eastAsia="es-ES"/>
        </w:rPr>
        <w:t xml:space="preserve">interés </w:t>
      </w:r>
      <w:r w:rsidR="002C381C" w:rsidRPr="00DF7495">
        <w:rPr>
          <w:lang w:val="es-CO" w:eastAsia="es-ES"/>
        </w:rPr>
        <w:t>efectivo</w:t>
      </w:r>
      <w:r w:rsidR="008B237A" w:rsidRPr="00DF7495">
        <w:rPr>
          <w:lang w:val="es-CO" w:eastAsia="es-ES"/>
        </w:rPr>
        <w:t xml:space="preserve"> anual </w:t>
      </w:r>
      <w:r w:rsidR="006127C4" w:rsidRPr="00DF7495">
        <w:rPr>
          <w:lang w:val="es-CO" w:eastAsia="es-ES"/>
        </w:rPr>
        <w:t xml:space="preserve">del respectivo portafolio </w:t>
      </w:r>
      <w:r w:rsidR="00FD551A" w:rsidRPr="00DF7495">
        <w:rPr>
          <w:lang w:val="es-CO" w:eastAsia="es-ES"/>
        </w:rPr>
        <w:t>del</w:t>
      </w:r>
      <w:r w:rsidR="00D46209" w:rsidRPr="00DF7495">
        <w:rPr>
          <w:lang w:val="es-CO" w:eastAsia="es-ES"/>
        </w:rPr>
        <w:t xml:space="preserve"> </w:t>
      </w:r>
      <w:r w:rsidR="006127C4" w:rsidRPr="00DF7495">
        <w:rPr>
          <w:lang w:val="es-CO" w:eastAsia="es-ES"/>
        </w:rPr>
        <w:t>año inmediatamente anterio</w:t>
      </w:r>
      <w:r w:rsidR="004E28A4" w:rsidRPr="00DF7495">
        <w:rPr>
          <w:lang w:val="es-CO" w:eastAsia="es-ES"/>
        </w:rPr>
        <w:t xml:space="preserve">r. Además, debe </w:t>
      </w:r>
      <w:r w:rsidR="00CB7A86" w:rsidRPr="00DF7495">
        <w:rPr>
          <w:lang w:val="es-CO" w:eastAsia="es-ES"/>
        </w:rPr>
        <w:t>contener</w:t>
      </w:r>
      <w:r w:rsidR="004E28A4" w:rsidRPr="00DF7495">
        <w:rPr>
          <w:lang w:val="es-CO" w:eastAsia="es-ES"/>
        </w:rPr>
        <w:t xml:space="preserve"> el </w:t>
      </w:r>
      <w:r w:rsidR="00F566DC" w:rsidRPr="00DF7495">
        <w:rPr>
          <w:lang w:val="es-CO" w:eastAsia="es-ES"/>
        </w:rPr>
        <w:t>objetivo de inversión del portaf</w:t>
      </w:r>
      <w:r w:rsidR="00FE171F" w:rsidRPr="00DF7495">
        <w:rPr>
          <w:lang w:val="es-CO" w:eastAsia="es-ES"/>
        </w:rPr>
        <w:t xml:space="preserve">olio. </w:t>
      </w:r>
    </w:p>
    <w:p w14:paraId="10690C70" w14:textId="77777777" w:rsidR="00986EC7" w:rsidRPr="00DF7495" w:rsidRDefault="00986EC7" w:rsidP="007C1418">
      <w:pPr>
        <w:pBdr>
          <w:left w:val="single" w:sz="4" w:space="1" w:color="auto"/>
        </w:pBdr>
        <w:rPr>
          <w:lang w:val="es-CO" w:eastAsia="es-ES"/>
        </w:rPr>
      </w:pPr>
    </w:p>
    <w:p w14:paraId="2A74EED6" w14:textId="0FC6D929" w:rsidR="00AD7D0E" w:rsidRPr="00DF7495" w:rsidRDefault="530CFC3D" w:rsidP="007C1418">
      <w:pPr>
        <w:pBdr>
          <w:left w:val="single" w:sz="4" w:space="1" w:color="auto"/>
        </w:pBdr>
        <w:rPr>
          <w:lang w:val="es-CO"/>
        </w:rPr>
      </w:pPr>
      <w:r w:rsidRPr="00DF7495">
        <w:rPr>
          <w:lang w:val="es-CO"/>
        </w:rPr>
        <w:t>Adicionalmente,</w:t>
      </w:r>
      <w:r w:rsidR="6912819B" w:rsidRPr="00DF7495">
        <w:rPr>
          <w:lang w:val="es-CO"/>
        </w:rPr>
        <w:t xml:space="preserve"> debe estar disponible un </w:t>
      </w:r>
      <w:r w:rsidR="09983271" w:rsidRPr="00DF7495">
        <w:rPr>
          <w:lang w:val="es-CO"/>
        </w:rPr>
        <w:t>hiper</w:t>
      </w:r>
      <w:r w:rsidR="622995A7" w:rsidRPr="00DF7495">
        <w:rPr>
          <w:lang w:val="es-CO"/>
        </w:rPr>
        <w:t>v</w:t>
      </w:r>
      <w:r w:rsidR="00384EDB" w:rsidRPr="00DF7495">
        <w:rPr>
          <w:lang w:val="es-CO"/>
        </w:rPr>
        <w:t>í</w:t>
      </w:r>
      <w:r w:rsidR="622995A7" w:rsidRPr="00DF7495">
        <w:rPr>
          <w:lang w:val="es-CO"/>
        </w:rPr>
        <w:t>nculo</w:t>
      </w:r>
      <w:r w:rsidR="6912819B" w:rsidRPr="00DF7495">
        <w:rPr>
          <w:lang w:val="es-CO"/>
        </w:rPr>
        <w:t xml:space="preserve"> que remita a los part</w:t>
      </w:r>
      <w:r w:rsidR="00384EDB" w:rsidRPr="00DF7495">
        <w:rPr>
          <w:lang w:val="es-CO"/>
        </w:rPr>
        <w:t>í</w:t>
      </w:r>
      <w:r w:rsidR="6912819B" w:rsidRPr="00DF7495">
        <w:rPr>
          <w:lang w:val="es-CO"/>
        </w:rPr>
        <w:t xml:space="preserve">cipes y/o potenciales inversionistas a la herramienta </w:t>
      </w:r>
      <w:r w:rsidR="76B683C9" w:rsidRPr="00DF7495">
        <w:rPr>
          <w:lang w:val="es-CO"/>
        </w:rPr>
        <w:t xml:space="preserve">de comparación de comisiones </w:t>
      </w:r>
      <w:r w:rsidR="6912819B" w:rsidRPr="00DF7495">
        <w:rPr>
          <w:lang w:val="es-CO"/>
        </w:rPr>
        <w:t xml:space="preserve">habilitada en la página web de </w:t>
      </w:r>
      <w:r w:rsidR="0B7F091E" w:rsidRPr="00DF7495">
        <w:rPr>
          <w:lang w:val="es-CO"/>
        </w:rPr>
        <w:t>esta</w:t>
      </w:r>
      <w:r w:rsidR="6912819B" w:rsidRPr="00DF7495">
        <w:rPr>
          <w:lang w:val="es-CO"/>
        </w:rPr>
        <w:t xml:space="preserve"> Superintendencia</w:t>
      </w:r>
      <w:r w:rsidR="0B7F091E" w:rsidRPr="00DF7495">
        <w:rPr>
          <w:lang w:val="es-CO"/>
        </w:rPr>
        <w:t>.</w:t>
      </w:r>
    </w:p>
    <w:p w14:paraId="17330AD5" w14:textId="77777777" w:rsidR="006F39F6" w:rsidRPr="00DF7495" w:rsidRDefault="006F39F6" w:rsidP="00642C13">
      <w:pPr>
        <w:rPr>
          <w:lang w:val="es-CO"/>
        </w:rPr>
      </w:pPr>
    </w:p>
    <w:p w14:paraId="531D652A" w14:textId="77777777" w:rsidR="007C2108" w:rsidRPr="00DF7495" w:rsidRDefault="007C2108" w:rsidP="00642C13">
      <w:pPr>
        <w:rPr>
          <w:lang w:val="es-CO" w:eastAsia="es-ES"/>
        </w:rPr>
      </w:pPr>
    </w:p>
    <w:p w14:paraId="60AEEE1D" w14:textId="77777777" w:rsidR="003557AB" w:rsidRPr="00DF7495" w:rsidRDefault="003557AB" w:rsidP="00642C13">
      <w:pPr>
        <w:rPr>
          <w:lang w:val="es-CO"/>
        </w:rPr>
      </w:pPr>
    </w:p>
    <w:sectPr w:rsidR="003557AB" w:rsidRPr="00DF7495" w:rsidSect="00182E79">
      <w:footerReference w:type="default" r:id="rId13"/>
      <w:pgSz w:w="12240" w:h="18720" w:code="14"/>
      <w:pgMar w:top="1418" w:right="1701" w:bottom="1418" w:left="1701" w:header="1134" w:footer="1134" w:gutter="0"/>
      <w:paperSrc w:first="15" w:other="15"/>
      <w:pgNumType w:start="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3A3B1" w14:textId="77777777" w:rsidR="002436C4" w:rsidRDefault="002436C4" w:rsidP="00D44C2C">
      <w:r>
        <w:separator/>
      </w:r>
    </w:p>
  </w:endnote>
  <w:endnote w:type="continuationSeparator" w:id="0">
    <w:p w14:paraId="6EF41E38" w14:textId="77777777" w:rsidR="002436C4" w:rsidRDefault="002436C4" w:rsidP="00D44C2C">
      <w:r>
        <w:continuationSeparator/>
      </w:r>
    </w:p>
  </w:endnote>
  <w:endnote w:type="continuationNotice" w:id="1">
    <w:p w14:paraId="573D7DDE" w14:textId="77777777" w:rsidR="002436C4" w:rsidRDefault="002436C4" w:rsidP="00D44C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 Bk BT">
    <w:altName w:val="Calibri"/>
    <w:panose1 w:val="00000000000000000000"/>
    <w:charset w:val="00"/>
    <w:family w:val="swiss"/>
    <w:notTrueType/>
    <w:pitch w:val="variable"/>
    <w:sig w:usb0="00000003" w:usb1="00000000" w:usb2="00000000" w:usb3="00000000" w:csb0="00000001" w:csb1="00000000"/>
  </w:font>
  <w:font w:name="Arial (W1)">
    <w:altName w:val="Arial"/>
    <w:charset w:val="00"/>
    <w:family w:val="swiss"/>
    <w:pitch w:val="variable"/>
    <w:sig w:usb0="00000000" w:usb1="80000000" w:usb2="00000008" w:usb3="00000000" w:csb0="000001FF" w:csb1="00000000"/>
  </w:font>
  <w:font w:name="Lucida Grande">
    <w:altName w:val="﷽﷽﷽﷽﷽﷽槭蘅=ꫀƘ怀"/>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08D6E" w14:textId="77777777" w:rsidR="00D1169E" w:rsidRDefault="00D1169E" w:rsidP="00D44C2C">
    <w:pPr>
      <w:pStyle w:val="Piedepgina"/>
      <w:rPr>
        <w:lang w:val="pt-BR"/>
      </w:rPr>
    </w:pPr>
  </w:p>
  <w:p w14:paraId="1AE85633" w14:textId="77777777" w:rsidR="006D593D" w:rsidRPr="00777DAC" w:rsidRDefault="00D1169E" w:rsidP="00D44C2C">
    <w:pPr>
      <w:pStyle w:val="Piedepgina"/>
      <w:rPr>
        <w:b/>
        <w:bCs/>
        <w:lang w:val="pt-BR"/>
      </w:rPr>
    </w:pPr>
    <w:r w:rsidRPr="00777DAC">
      <w:rPr>
        <w:b/>
        <w:bCs/>
        <w:lang w:val="pt-BR"/>
      </w:rPr>
      <w:t>PARTE II – TÍTULO III – CAPÍTULO VI</w:t>
    </w:r>
    <w:r w:rsidR="006D593D" w:rsidRPr="00777DAC">
      <w:rPr>
        <w:b/>
        <w:bCs/>
        <w:lang w:val="pt-BR"/>
      </w:rPr>
      <w:t xml:space="preserve">                                                                                                                             </w:t>
    </w:r>
  </w:p>
  <w:p w14:paraId="71508D6F" w14:textId="0AA7F496" w:rsidR="00D1169E" w:rsidRPr="00777DAC" w:rsidRDefault="007E1E15" w:rsidP="00D44C2C">
    <w:pPr>
      <w:pStyle w:val="Piedepgina"/>
      <w:rPr>
        <w:b/>
        <w:bCs/>
        <w:lang w:val="pt-BR"/>
      </w:rPr>
    </w:pPr>
    <w:r w:rsidRPr="00777DAC">
      <w:rPr>
        <w:b/>
        <w:bCs/>
        <w:lang w:val="pt-BR"/>
      </w:rPr>
      <w:t xml:space="preserve">Circular </w:t>
    </w:r>
    <w:proofErr w:type="gramStart"/>
    <w:r w:rsidRPr="00777DAC">
      <w:rPr>
        <w:b/>
        <w:bCs/>
        <w:lang w:val="pt-BR"/>
      </w:rPr>
      <w:t xml:space="preserve">Externa </w:t>
    </w:r>
    <w:r w:rsidR="00184C19">
      <w:rPr>
        <w:b/>
        <w:bCs/>
        <w:lang w:val="pt-BR"/>
      </w:rPr>
      <w:t xml:space="preserve"> </w:t>
    </w:r>
    <w:r w:rsidR="00C23E2B">
      <w:rPr>
        <w:b/>
        <w:bCs/>
        <w:lang w:val="pt-BR"/>
      </w:rPr>
      <w:t>008</w:t>
    </w:r>
    <w:proofErr w:type="gramEnd"/>
    <w:r w:rsidR="00184C19">
      <w:rPr>
        <w:b/>
        <w:bCs/>
        <w:lang w:val="pt-BR"/>
      </w:rPr>
      <w:t xml:space="preserve"> </w:t>
    </w:r>
    <w:r w:rsidR="008D7AAA" w:rsidRPr="00777DAC">
      <w:rPr>
        <w:b/>
        <w:bCs/>
        <w:lang w:val="pt-BR"/>
      </w:rPr>
      <w:t xml:space="preserve"> de 202</w:t>
    </w:r>
    <w:r w:rsidR="00777DAC">
      <w:rPr>
        <w:b/>
        <w:bCs/>
        <w:lang w:val="pt-BR"/>
      </w:rPr>
      <w:t>1</w:t>
    </w:r>
    <w:r w:rsidR="008D7AAA" w:rsidRPr="00777DAC">
      <w:rPr>
        <w:b/>
        <w:bCs/>
        <w:lang w:val="pt-BR"/>
      </w:rPr>
      <w:t xml:space="preserve">                                                                                               </w:t>
    </w:r>
    <w:r w:rsidR="00777DAC">
      <w:rPr>
        <w:b/>
        <w:bCs/>
        <w:lang w:val="pt-BR"/>
      </w:rPr>
      <w:t xml:space="preserve">      </w:t>
    </w:r>
    <w:r w:rsidR="008D7AAA" w:rsidRPr="00777DAC">
      <w:rPr>
        <w:b/>
        <w:bCs/>
        <w:lang w:val="pt-BR"/>
      </w:rPr>
      <w:t xml:space="preserve">            </w:t>
    </w:r>
    <w:r w:rsidR="00184C19">
      <w:rPr>
        <w:b/>
        <w:bCs/>
        <w:lang w:val="pt-BR"/>
      </w:rPr>
      <w:t xml:space="preserve">       </w:t>
    </w:r>
    <w:proofErr w:type="spellStart"/>
    <w:r w:rsidR="003D1AA5">
      <w:rPr>
        <w:b/>
        <w:bCs/>
        <w:lang w:val="pt-BR"/>
      </w:rPr>
      <w:t>Mayo</w:t>
    </w:r>
    <w:proofErr w:type="spellEnd"/>
    <w:r w:rsidR="008D7AAA" w:rsidRPr="00777DAC">
      <w:rPr>
        <w:b/>
        <w:bCs/>
        <w:lang w:val="pt-BR"/>
      </w:rPr>
      <w:t xml:space="preserve"> de 202</w:t>
    </w:r>
    <w:r w:rsidR="00777DAC">
      <w:rPr>
        <w:b/>
        <w:bCs/>
        <w:lang w:val="pt-BR"/>
      </w:rPr>
      <w:t>1</w:t>
    </w:r>
    <w:r w:rsidR="008D7AAA" w:rsidRPr="00777DAC">
      <w:rPr>
        <w:b/>
        <w:bCs/>
        <w:lang w:val="pt-BR"/>
      </w:rPr>
      <w:t xml:space="preserve"> </w:t>
    </w:r>
    <w:r w:rsidR="00D1169E" w:rsidRPr="00777DAC">
      <w:rPr>
        <w:b/>
        <w:bCs/>
        <w:lang w:val="pt-B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08D70" w14:textId="77777777" w:rsidR="006732D6" w:rsidRDefault="006732D6" w:rsidP="00926D39">
    <w:pPr>
      <w:pStyle w:val="Piedepgina"/>
      <w:rPr>
        <w:lang w:val="pt-BR"/>
      </w:rPr>
    </w:pPr>
  </w:p>
  <w:p w14:paraId="71508D72" w14:textId="2570A6C4" w:rsidR="006732D6" w:rsidRPr="009F25E6" w:rsidRDefault="006732D6" w:rsidP="00926D39">
    <w:pPr>
      <w:pStyle w:val="Piedepgina"/>
      <w:rPr>
        <w:rFonts w:cs="Arial"/>
        <w:b/>
      </w:rPr>
    </w:pPr>
    <w:r w:rsidRPr="00C55CED">
      <w:rPr>
        <w:b/>
        <w:lang w:val="pt-BR"/>
      </w:rPr>
      <w:t>PARTE II – TÍTULO III – CAPÍTULO VI</w:t>
    </w:r>
    <w:r w:rsidR="00926D39">
      <w:rPr>
        <w:b/>
        <w:lang w:val="pt-BR"/>
      </w:rPr>
      <w:t xml:space="preserve">                                                                                                                        </w:t>
    </w:r>
    <w:r w:rsidRPr="00C55CED">
      <w:rPr>
        <w:b/>
        <w:lang w:val="pt-BR"/>
      </w:rPr>
      <w:t xml:space="preserve">PÁGINA </w:t>
    </w:r>
    <w:r w:rsidR="009F25E6" w:rsidRPr="009E03CC">
      <w:rPr>
        <w:rStyle w:val="Nmerodepgina"/>
        <w:rFonts w:cs="Arial"/>
        <w:b/>
      </w:rPr>
      <w:fldChar w:fldCharType="begin"/>
    </w:r>
    <w:r w:rsidR="009F25E6">
      <w:rPr>
        <w:rStyle w:val="Nmerodepgina"/>
        <w:rFonts w:cs="Arial"/>
        <w:b/>
      </w:rPr>
      <w:instrText>PAGE</w:instrText>
    </w:r>
    <w:r w:rsidR="009F25E6" w:rsidRPr="009E03CC">
      <w:rPr>
        <w:rStyle w:val="Nmerodepgina"/>
        <w:rFonts w:cs="Arial"/>
        <w:b/>
      </w:rPr>
      <w:instrText xml:space="preserve">  </w:instrText>
    </w:r>
    <w:r w:rsidR="009F25E6" w:rsidRPr="009E03CC">
      <w:rPr>
        <w:rStyle w:val="Nmerodepgina"/>
        <w:rFonts w:cs="Arial"/>
        <w:b/>
      </w:rPr>
      <w:fldChar w:fldCharType="separate"/>
    </w:r>
    <w:r w:rsidR="009F25E6">
      <w:rPr>
        <w:rStyle w:val="Nmerodepgina"/>
        <w:rFonts w:cs="Arial"/>
        <w:b/>
      </w:rPr>
      <w:t>1</w:t>
    </w:r>
    <w:r w:rsidR="009F25E6" w:rsidRPr="009E03CC">
      <w:rPr>
        <w:rStyle w:val="Nmerodepgina"/>
        <w:rFonts w:cs="Arial"/>
        <w:b/>
      </w:rPr>
      <w:fldChar w:fldCharType="end"/>
    </w:r>
    <w:r w:rsidRPr="00C55CED">
      <w:rPr>
        <w:b/>
        <w:lang w:val="pt-BR"/>
      </w:rPr>
      <w:t xml:space="preserve"> </w:t>
    </w:r>
  </w:p>
  <w:p w14:paraId="25A57543" w14:textId="22F2008B" w:rsidR="00D30E23" w:rsidRPr="00B85FB9" w:rsidRDefault="00CA13BD" w:rsidP="00B85FB9">
    <w:pPr>
      <w:pStyle w:val="Piedepgina"/>
      <w:rPr>
        <w:b/>
        <w:lang w:val="pt-BR"/>
      </w:rPr>
    </w:pPr>
    <w:r w:rsidRPr="00C55CED">
      <w:rPr>
        <w:b/>
        <w:lang w:val="pt-BR"/>
      </w:rPr>
      <w:t xml:space="preserve">Circular </w:t>
    </w:r>
    <w:proofErr w:type="gramStart"/>
    <w:r w:rsidRPr="00C55CED">
      <w:rPr>
        <w:b/>
        <w:lang w:val="pt-BR"/>
      </w:rPr>
      <w:t xml:space="preserve">Externa </w:t>
    </w:r>
    <w:r w:rsidR="000E56F3">
      <w:rPr>
        <w:b/>
        <w:lang w:val="pt-BR"/>
      </w:rPr>
      <w:t xml:space="preserve"> </w:t>
    </w:r>
    <w:r w:rsidR="00C23E2B">
      <w:rPr>
        <w:b/>
        <w:lang w:val="pt-BR"/>
      </w:rPr>
      <w:t>008</w:t>
    </w:r>
    <w:proofErr w:type="gramEnd"/>
    <w:r w:rsidR="000E56F3">
      <w:rPr>
        <w:b/>
        <w:lang w:val="pt-BR"/>
      </w:rPr>
      <w:t xml:space="preserve"> </w:t>
    </w:r>
    <w:r w:rsidRPr="00C55CED">
      <w:rPr>
        <w:b/>
        <w:lang w:val="pt-BR"/>
      </w:rPr>
      <w:t xml:space="preserve"> de 202</w:t>
    </w:r>
    <w:r w:rsidR="009F25E6">
      <w:rPr>
        <w:b/>
        <w:lang w:val="pt-BR"/>
      </w:rPr>
      <w:t>1</w:t>
    </w:r>
    <w:r w:rsidRPr="00C55CED">
      <w:rPr>
        <w:b/>
        <w:lang w:val="pt-BR"/>
      </w:rPr>
      <w:t xml:space="preserve">                                                                                                                        </w:t>
    </w:r>
    <w:r w:rsidR="000E56F3">
      <w:rPr>
        <w:b/>
        <w:lang w:val="pt-BR"/>
      </w:rPr>
      <w:t xml:space="preserve">     </w:t>
    </w:r>
    <w:proofErr w:type="spellStart"/>
    <w:r w:rsidR="003D1AA5">
      <w:rPr>
        <w:b/>
        <w:lang w:val="pt-BR"/>
      </w:rPr>
      <w:t>Mayo</w:t>
    </w:r>
    <w:proofErr w:type="spellEnd"/>
    <w:r w:rsidR="003D1AA5">
      <w:rPr>
        <w:b/>
        <w:lang w:val="pt-BR"/>
      </w:rPr>
      <w:t xml:space="preserve"> </w:t>
    </w:r>
    <w:r w:rsidRPr="00C55CED">
      <w:rPr>
        <w:b/>
        <w:lang w:val="pt-BR"/>
      </w:rPr>
      <w:t>de 202</w:t>
    </w:r>
    <w:r w:rsidR="009F25E6">
      <w:rPr>
        <w:b/>
        <w:lang w:val="pt-BR"/>
      </w:rPr>
      <w:t>1</w:t>
    </w:r>
    <w:r w:rsidRPr="00C55CED">
      <w:rPr>
        <w:b/>
        <w:lang w:val="pt-B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FD607" w14:textId="77777777" w:rsidR="002436C4" w:rsidRDefault="002436C4" w:rsidP="00D44C2C">
      <w:r>
        <w:separator/>
      </w:r>
    </w:p>
  </w:footnote>
  <w:footnote w:type="continuationSeparator" w:id="0">
    <w:p w14:paraId="5707CFE6" w14:textId="77777777" w:rsidR="002436C4" w:rsidRDefault="002436C4" w:rsidP="00D44C2C">
      <w:r>
        <w:continuationSeparator/>
      </w:r>
    </w:p>
  </w:footnote>
  <w:footnote w:type="continuationNotice" w:id="1">
    <w:p w14:paraId="0AF38C1E" w14:textId="77777777" w:rsidR="002436C4" w:rsidRDefault="002436C4" w:rsidP="00D44C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08D6C" w14:textId="77777777" w:rsidR="00D1169E" w:rsidRPr="00B0362C" w:rsidRDefault="00D1169E" w:rsidP="00B0362C">
    <w:pPr>
      <w:pStyle w:val="Encabezado"/>
      <w:tabs>
        <w:tab w:val="clear" w:pos="4252"/>
        <w:tab w:val="clear" w:pos="8504"/>
        <w:tab w:val="center" w:pos="4419"/>
        <w:tab w:val="right" w:pos="8838"/>
      </w:tabs>
      <w:jc w:val="center"/>
      <w:rPr>
        <w:b/>
        <w:sz w:val="24"/>
        <w:szCs w:val="24"/>
        <w:lang w:eastAsia="es-ES"/>
      </w:rPr>
    </w:pPr>
    <w:r w:rsidRPr="00B0362C">
      <w:rPr>
        <w:b/>
        <w:sz w:val="24"/>
        <w:szCs w:val="24"/>
        <w:lang w:eastAsia="es-ES"/>
      </w:rPr>
      <w:t>SUPERINTENDENCIA FINANCIERA DE COLOMBIA</w:t>
    </w:r>
  </w:p>
  <w:p w14:paraId="71508D6D" w14:textId="77777777" w:rsidR="00D1169E" w:rsidRPr="00315D26" w:rsidRDefault="00D1169E" w:rsidP="00D44C2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B2197"/>
    <w:multiLevelType w:val="hybridMultilevel"/>
    <w:tmpl w:val="5F8C0EA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149C5B72"/>
    <w:multiLevelType w:val="hybridMultilevel"/>
    <w:tmpl w:val="FF0069D2"/>
    <w:lvl w:ilvl="0" w:tplc="040A000F">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FCD272A"/>
    <w:multiLevelType w:val="hybridMultilevel"/>
    <w:tmpl w:val="0C0A001D"/>
    <w:styleLink w:val="1ai"/>
    <w:lvl w:ilvl="0" w:tplc="8D187154">
      <w:start w:val="1"/>
      <w:numFmt w:val="decimal"/>
      <w:lvlText w:val="%1)"/>
      <w:lvlJc w:val="left"/>
      <w:pPr>
        <w:tabs>
          <w:tab w:val="num" w:pos="360"/>
        </w:tabs>
        <w:ind w:left="360" w:hanging="360"/>
      </w:pPr>
    </w:lvl>
    <w:lvl w:ilvl="1" w:tplc="4790B7C4">
      <w:start w:val="1"/>
      <w:numFmt w:val="lowerLetter"/>
      <w:lvlText w:val="%2)"/>
      <w:lvlJc w:val="left"/>
      <w:pPr>
        <w:tabs>
          <w:tab w:val="num" w:pos="720"/>
        </w:tabs>
        <w:ind w:left="720" w:hanging="360"/>
      </w:pPr>
    </w:lvl>
    <w:lvl w:ilvl="2" w:tplc="55F6187C">
      <w:start w:val="1"/>
      <w:numFmt w:val="lowerRoman"/>
      <w:lvlText w:val="%3)"/>
      <w:lvlJc w:val="left"/>
      <w:pPr>
        <w:tabs>
          <w:tab w:val="num" w:pos="1080"/>
        </w:tabs>
        <w:ind w:left="1080" w:hanging="360"/>
      </w:pPr>
    </w:lvl>
    <w:lvl w:ilvl="3" w:tplc="AF84E960">
      <w:start w:val="1"/>
      <w:numFmt w:val="decimal"/>
      <w:lvlText w:val="(%4)"/>
      <w:lvlJc w:val="left"/>
      <w:pPr>
        <w:tabs>
          <w:tab w:val="num" w:pos="1440"/>
        </w:tabs>
        <w:ind w:left="1440" w:hanging="360"/>
      </w:pPr>
    </w:lvl>
    <w:lvl w:ilvl="4" w:tplc="99EC8BFA">
      <w:start w:val="1"/>
      <w:numFmt w:val="lowerLetter"/>
      <w:lvlText w:val="(%5)"/>
      <w:lvlJc w:val="left"/>
      <w:pPr>
        <w:tabs>
          <w:tab w:val="num" w:pos="1800"/>
        </w:tabs>
        <w:ind w:left="1800" w:hanging="360"/>
      </w:pPr>
    </w:lvl>
    <w:lvl w:ilvl="5" w:tplc="96DCFE9C">
      <w:start w:val="1"/>
      <w:numFmt w:val="lowerRoman"/>
      <w:lvlText w:val="(%6)"/>
      <w:lvlJc w:val="left"/>
      <w:pPr>
        <w:tabs>
          <w:tab w:val="num" w:pos="2160"/>
        </w:tabs>
        <w:ind w:left="2160" w:hanging="360"/>
      </w:pPr>
    </w:lvl>
    <w:lvl w:ilvl="6" w:tplc="5FA819B0">
      <w:start w:val="1"/>
      <w:numFmt w:val="decimal"/>
      <w:lvlText w:val="%7."/>
      <w:lvlJc w:val="left"/>
      <w:pPr>
        <w:tabs>
          <w:tab w:val="num" w:pos="2520"/>
        </w:tabs>
        <w:ind w:left="2520" w:hanging="360"/>
      </w:pPr>
    </w:lvl>
    <w:lvl w:ilvl="7" w:tplc="F62698C4">
      <w:start w:val="1"/>
      <w:numFmt w:val="lowerLetter"/>
      <w:lvlText w:val="%8."/>
      <w:lvlJc w:val="left"/>
      <w:pPr>
        <w:tabs>
          <w:tab w:val="num" w:pos="2880"/>
        </w:tabs>
        <w:ind w:left="2880" w:hanging="360"/>
      </w:pPr>
    </w:lvl>
    <w:lvl w:ilvl="8" w:tplc="FF8AED02">
      <w:start w:val="1"/>
      <w:numFmt w:val="lowerRoman"/>
      <w:lvlText w:val="%9."/>
      <w:lvlJc w:val="left"/>
      <w:pPr>
        <w:tabs>
          <w:tab w:val="num" w:pos="3240"/>
        </w:tabs>
        <w:ind w:left="3240" w:hanging="360"/>
      </w:pPr>
    </w:lvl>
  </w:abstractNum>
  <w:abstractNum w:abstractNumId="3" w15:restartNumberingAfterBreak="0">
    <w:nsid w:val="229032D5"/>
    <w:multiLevelType w:val="hybridMultilevel"/>
    <w:tmpl w:val="9B4A0F9A"/>
    <w:lvl w:ilvl="0" w:tplc="9F785AEC">
      <w:start w:val="1"/>
      <w:numFmt w:val="decimal"/>
      <w:lvlText w:val="%1."/>
      <w:lvlJc w:val="left"/>
      <w:pPr>
        <w:ind w:left="405" w:hanging="405"/>
      </w:pPr>
      <w:rPr>
        <w:rFonts w:hint="default"/>
      </w:rPr>
    </w:lvl>
    <w:lvl w:ilvl="1" w:tplc="6BDA0230">
      <w:start w:val="2"/>
      <w:numFmt w:val="decimal"/>
      <w:lvlText w:val="%1.%2."/>
      <w:lvlJc w:val="left"/>
      <w:pPr>
        <w:ind w:left="405" w:hanging="405"/>
      </w:pPr>
      <w:rPr>
        <w:rFonts w:hint="default"/>
      </w:rPr>
    </w:lvl>
    <w:lvl w:ilvl="2" w:tplc="5FDCE424">
      <w:start w:val="1"/>
      <w:numFmt w:val="decimal"/>
      <w:lvlText w:val="%1.%2.%3."/>
      <w:lvlJc w:val="left"/>
      <w:pPr>
        <w:ind w:left="720" w:hanging="720"/>
      </w:pPr>
      <w:rPr>
        <w:rFonts w:hint="default"/>
      </w:rPr>
    </w:lvl>
    <w:lvl w:ilvl="3" w:tplc="D4B00846">
      <w:start w:val="1"/>
      <w:numFmt w:val="decimal"/>
      <w:lvlText w:val="%1.%2.%3.%4."/>
      <w:lvlJc w:val="left"/>
      <w:pPr>
        <w:ind w:left="720" w:hanging="720"/>
      </w:pPr>
      <w:rPr>
        <w:rFonts w:hint="default"/>
      </w:rPr>
    </w:lvl>
    <w:lvl w:ilvl="4" w:tplc="BF1659A0">
      <w:start w:val="1"/>
      <w:numFmt w:val="decimal"/>
      <w:lvlText w:val="%1.%2.%3.%4.%5."/>
      <w:lvlJc w:val="left"/>
      <w:pPr>
        <w:ind w:left="720" w:hanging="720"/>
      </w:pPr>
      <w:rPr>
        <w:rFonts w:hint="default"/>
      </w:rPr>
    </w:lvl>
    <w:lvl w:ilvl="5" w:tplc="DA822FE8">
      <w:start w:val="1"/>
      <w:numFmt w:val="decimal"/>
      <w:lvlText w:val="%1.%2.%3.%4.%5.%6."/>
      <w:lvlJc w:val="left"/>
      <w:pPr>
        <w:ind w:left="1080" w:hanging="1080"/>
      </w:pPr>
      <w:rPr>
        <w:rFonts w:hint="default"/>
      </w:rPr>
    </w:lvl>
    <w:lvl w:ilvl="6" w:tplc="4AC612BE">
      <w:start w:val="1"/>
      <w:numFmt w:val="decimal"/>
      <w:lvlText w:val="%1.%2.%3.%4.%5.%6.%7."/>
      <w:lvlJc w:val="left"/>
      <w:pPr>
        <w:ind w:left="1080" w:hanging="1080"/>
      </w:pPr>
      <w:rPr>
        <w:rFonts w:hint="default"/>
      </w:rPr>
    </w:lvl>
    <w:lvl w:ilvl="7" w:tplc="5D420B24">
      <w:start w:val="1"/>
      <w:numFmt w:val="decimal"/>
      <w:lvlText w:val="%1.%2.%3.%4.%5.%6.%7.%8."/>
      <w:lvlJc w:val="left"/>
      <w:pPr>
        <w:ind w:left="1080" w:hanging="1080"/>
      </w:pPr>
      <w:rPr>
        <w:rFonts w:hint="default"/>
      </w:rPr>
    </w:lvl>
    <w:lvl w:ilvl="8" w:tplc="AC12BF44">
      <w:start w:val="1"/>
      <w:numFmt w:val="decimal"/>
      <w:lvlText w:val="%1.%2.%3.%4.%5.%6.%7.%8.%9."/>
      <w:lvlJc w:val="left"/>
      <w:pPr>
        <w:ind w:left="1440" w:hanging="1440"/>
      </w:pPr>
      <w:rPr>
        <w:rFonts w:hint="default"/>
      </w:rPr>
    </w:lvl>
  </w:abstractNum>
  <w:abstractNum w:abstractNumId="4" w15:restartNumberingAfterBreak="0">
    <w:nsid w:val="27022FA3"/>
    <w:multiLevelType w:val="multilevel"/>
    <w:tmpl w:val="5C3CFE1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BDA5624"/>
    <w:multiLevelType w:val="hybridMultilevel"/>
    <w:tmpl w:val="F54AE066"/>
    <w:lvl w:ilvl="0" w:tplc="D2DCC86C">
      <w:start w:val="1"/>
      <w:numFmt w:val="decimal"/>
      <w:lvlText w:val="%1."/>
      <w:lvlJc w:val="left"/>
      <w:pPr>
        <w:ind w:left="400" w:hanging="400"/>
      </w:pPr>
      <w:rPr>
        <w:rFonts w:hint="default"/>
        <w:b w:val="0"/>
      </w:rPr>
    </w:lvl>
    <w:lvl w:ilvl="1" w:tplc="8A509EB4">
      <w:start w:val="1"/>
      <w:numFmt w:val="decimal"/>
      <w:lvlText w:val="%1.%2."/>
      <w:lvlJc w:val="left"/>
      <w:pPr>
        <w:ind w:left="400" w:hanging="400"/>
      </w:pPr>
      <w:rPr>
        <w:rFonts w:hint="default"/>
        <w:b w:val="0"/>
      </w:rPr>
    </w:lvl>
    <w:lvl w:ilvl="2" w:tplc="CC103B94">
      <w:start w:val="1"/>
      <w:numFmt w:val="decimal"/>
      <w:lvlText w:val="%1.%2.%3."/>
      <w:lvlJc w:val="left"/>
      <w:pPr>
        <w:ind w:left="720" w:hanging="720"/>
      </w:pPr>
      <w:rPr>
        <w:rFonts w:hint="default"/>
        <w:b w:val="0"/>
      </w:rPr>
    </w:lvl>
    <w:lvl w:ilvl="3" w:tplc="120E1BBA">
      <w:start w:val="1"/>
      <w:numFmt w:val="decimal"/>
      <w:lvlText w:val="%1.%2.%3.%4."/>
      <w:lvlJc w:val="left"/>
      <w:pPr>
        <w:ind w:left="720" w:hanging="720"/>
      </w:pPr>
      <w:rPr>
        <w:rFonts w:hint="default"/>
        <w:b w:val="0"/>
      </w:rPr>
    </w:lvl>
    <w:lvl w:ilvl="4" w:tplc="F9108238">
      <w:start w:val="1"/>
      <w:numFmt w:val="decimal"/>
      <w:lvlText w:val="%1.%2.%3.%4.%5."/>
      <w:lvlJc w:val="left"/>
      <w:pPr>
        <w:ind w:left="720" w:hanging="720"/>
      </w:pPr>
      <w:rPr>
        <w:rFonts w:hint="default"/>
        <w:b w:val="0"/>
      </w:rPr>
    </w:lvl>
    <w:lvl w:ilvl="5" w:tplc="1E920D46">
      <w:start w:val="1"/>
      <w:numFmt w:val="decimal"/>
      <w:lvlText w:val="%1.%2.%3.%4.%5.%6."/>
      <w:lvlJc w:val="left"/>
      <w:pPr>
        <w:ind w:left="1080" w:hanging="1080"/>
      </w:pPr>
      <w:rPr>
        <w:rFonts w:hint="default"/>
        <w:b w:val="0"/>
      </w:rPr>
    </w:lvl>
    <w:lvl w:ilvl="6" w:tplc="9360346C">
      <w:start w:val="1"/>
      <w:numFmt w:val="decimal"/>
      <w:lvlText w:val="%1.%2.%3.%4.%5.%6.%7."/>
      <w:lvlJc w:val="left"/>
      <w:pPr>
        <w:ind w:left="1080" w:hanging="1080"/>
      </w:pPr>
      <w:rPr>
        <w:rFonts w:hint="default"/>
        <w:b w:val="0"/>
      </w:rPr>
    </w:lvl>
    <w:lvl w:ilvl="7" w:tplc="98AED56A">
      <w:start w:val="1"/>
      <w:numFmt w:val="decimal"/>
      <w:lvlText w:val="%1.%2.%3.%4.%5.%6.%7.%8."/>
      <w:lvlJc w:val="left"/>
      <w:pPr>
        <w:ind w:left="1080" w:hanging="1080"/>
      </w:pPr>
      <w:rPr>
        <w:rFonts w:hint="default"/>
        <w:b w:val="0"/>
      </w:rPr>
    </w:lvl>
    <w:lvl w:ilvl="8" w:tplc="EDA2F8C6">
      <w:start w:val="1"/>
      <w:numFmt w:val="decimal"/>
      <w:lvlText w:val="%1.%2.%3.%4.%5.%6.%7.%8.%9."/>
      <w:lvlJc w:val="left"/>
      <w:pPr>
        <w:ind w:left="1440" w:hanging="1440"/>
      </w:pPr>
      <w:rPr>
        <w:rFonts w:hint="default"/>
        <w:b w:val="0"/>
      </w:rPr>
    </w:lvl>
  </w:abstractNum>
  <w:abstractNum w:abstractNumId="6" w15:restartNumberingAfterBreak="0">
    <w:nsid w:val="3EDF1F4F"/>
    <w:multiLevelType w:val="multilevel"/>
    <w:tmpl w:val="271837EA"/>
    <w:lvl w:ilvl="0">
      <w:start w:val="1"/>
      <w:numFmt w:val="decimal"/>
      <w:pStyle w:val="Ttulo1"/>
      <w:suff w:val="space"/>
      <w:lvlText w:val="%1."/>
      <w:lvlJc w:val="left"/>
      <w:pPr>
        <w:ind w:left="284" w:hanging="284"/>
      </w:pPr>
      <w:rPr>
        <w:rFonts w:hint="default"/>
      </w:rPr>
    </w:lvl>
    <w:lvl w:ilvl="1">
      <w:start w:val="1"/>
      <w:numFmt w:val="decimal"/>
      <w:pStyle w:val="Ttulo2"/>
      <w:suff w:val="space"/>
      <w:lvlText w:val="%1.%2."/>
      <w:lvlJc w:val="left"/>
      <w:pPr>
        <w:ind w:left="0" w:firstLine="0"/>
      </w:pPr>
      <w:rPr>
        <w:rFonts w:hint="default"/>
        <w:b/>
        <w:bCs w:val="0"/>
      </w:rPr>
    </w:lvl>
    <w:lvl w:ilvl="2">
      <w:start w:val="1"/>
      <w:numFmt w:val="decimal"/>
      <w:pStyle w:val="Ttulo3"/>
      <w:suff w:val="space"/>
      <w:lvlText w:val="%1.%2.%3"/>
      <w:lvlJc w:val="left"/>
      <w:pPr>
        <w:ind w:left="3970" w:firstLine="0"/>
      </w:pPr>
      <w:rPr>
        <w:rFonts w:ascii="Arial" w:hAnsi="Arial" w:cs="Arial" w:hint="default"/>
        <w:b w:val="0"/>
        <w:bCs/>
        <w:sz w:val="16"/>
        <w:szCs w:val="16"/>
      </w:rPr>
    </w:lvl>
    <w:lvl w:ilvl="3">
      <w:start w:val="1"/>
      <w:numFmt w:val="decimal"/>
      <w:pStyle w:val="Ttulo4"/>
      <w:suff w:val="space"/>
      <w:lvlText w:val="%1.%2.%3.%4"/>
      <w:lvlJc w:val="left"/>
      <w:pPr>
        <w:ind w:left="142" w:firstLine="0"/>
      </w:pPr>
      <w:rPr>
        <w:rFonts w:hint="default"/>
        <w:b w:val="0"/>
        <w:bCs/>
      </w:rPr>
    </w:lvl>
    <w:lvl w:ilvl="4">
      <w:start w:val="1"/>
      <w:numFmt w:val="decimal"/>
      <w:pStyle w:val="Ttulo5"/>
      <w:suff w:val="space"/>
      <w:lvlText w:val="%1.%2.%3.%4.%5"/>
      <w:lvlJc w:val="left"/>
      <w:pPr>
        <w:ind w:left="0" w:firstLine="0"/>
      </w:pPr>
      <w:rPr>
        <w:rFonts w:hint="default"/>
        <w:b w:val="0"/>
        <w:bCs/>
        <w:i w:val="0"/>
        <w:iCs w:val="0"/>
      </w:rPr>
    </w:lvl>
    <w:lvl w:ilvl="5">
      <w:start w:val="1"/>
      <w:numFmt w:val="decimal"/>
      <w:pStyle w:val="Ttulo6"/>
      <w:suff w:val="space"/>
      <w:lvlText w:val="%1.%2.%3.%4.%5.%6"/>
      <w:lvlJc w:val="left"/>
      <w:pPr>
        <w:ind w:left="0" w:firstLine="0"/>
      </w:pPr>
      <w:rPr>
        <w:rFonts w:hint="default"/>
        <w:b w:val="0"/>
        <w:bCs/>
      </w:rPr>
    </w:lvl>
    <w:lvl w:ilvl="6">
      <w:start w:val="1"/>
      <w:numFmt w:val="decimal"/>
      <w:pStyle w:val="Ttulo7"/>
      <w:suff w:val="space"/>
      <w:lvlText w:val="%1.%2.%3.%4.%5.%6.%7"/>
      <w:lvlJc w:val="left"/>
      <w:pPr>
        <w:ind w:left="0" w:firstLine="0"/>
      </w:pPr>
      <w:rPr>
        <w:rFonts w:hint="default"/>
        <w:b w:val="0"/>
        <w:bCs/>
      </w:rPr>
    </w:lvl>
    <w:lvl w:ilvl="7">
      <w:start w:val="1"/>
      <w:numFmt w:val="decimal"/>
      <w:pStyle w:val="Ttulo8"/>
      <w:suff w:val="space"/>
      <w:lvlText w:val="%1.%2.%3.%4.%5.%6.%7.%8"/>
      <w:lvlJc w:val="left"/>
      <w:pPr>
        <w:ind w:left="0" w:firstLine="0"/>
      </w:pPr>
      <w:rPr>
        <w:rFonts w:hint="default"/>
      </w:rPr>
    </w:lvl>
    <w:lvl w:ilvl="8">
      <w:start w:val="1"/>
      <w:numFmt w:val="decimal"/>
      <w:pStyle w:val="Ttulo9"/>
      <w:suff w:val="space"/>
      <w:lvlText w:val="%1.%2.%3.%4.%5.%6.%7.%8.%9"/>
      <w:lvlJc w:val="left"/>
      <w:pPr>
        <w:ind w:left="0" w:firstLine="0"/>
      </w:pPr>
      <w:rPr>
        <w:rFonts w:hint="default"/>
      </w:rPr>
    </w:lvl>
  </w:abstractNum>
  <w:abstractNum w:abstractNumId="7" w15:restartNumberingAfterBreak="0">
    <w:nsid w:val="508534C4"/>
    <w:multiLevelType w:val="hybridMultilevel"/>
    <w:tmpl w:val="6DDACAB6"/>
    <w:lvl w:ilvl="0" w:tplc="58BCB908">
      <w:start w:val="1"/>
      <w:numFmt w:val="decimal"/>
      <w:suff w:val="space"/>
      <w:lvlText w:val="%1."/>
      <w:lvlJc w:val="left"/>
      <w:pPr>
        <w:ind w:left="0" w:firstLine="0"/>
      </w:pPr>
      <w:rPr>
        <w:rFonts w:hint="default"/>
      </w:rPr>
    </w:lvl>
    <w:lvl w:ilvl="1" w:tplc="1236FF6A">
      <w:start w:val="1"/>
      <w:numFmt w:val="lowerLetter"/>
      <w:lvlText w:val="%2."/>
      <w:lvlJc w:val="left"/>
      <w:pPr>
        <w:ind w:left="1364" w:hanging="360"/>
      </w:pPr>
      <w:rPr>
        <w:rFonts w:hint="default"/>
      </w:rPr>
    </w:lvl>
    <w:lvl w:ilvl="2" w:tplc="26480280">
      <w:start w:val="1"/>
      <w:numFmt w:val="lowerRoman"/>
      <w:lvlText w:val="%3."/>
      <w:lvlJc w:val="right"/>
      <w:pPr>
        <w:ind w:left="2084" w:hanging="180"/>
      </w:pPr>
      <w:rPr>
        <w:rFonts w:hint="default"/>
      </w:rPr>
    </w:lvl>
    <w:lvl w:ilvl="3" w:tplc="4A86715E">
      <w:start w:val="1"/>
      <w:numFmt w:val="decimal"/>
      <w:lvlText w:val="%4."/>
      <w:lvlJc w:val="left"/>
      <w:pPr>
        <w:ind w:left="2804" w:hanging="360"/>
      </w:pPr>
      <w:rPr>
        <w:rFonts w:hint="default"/>
      </w:rPr>
    </w:lvl>
    <w:lvl w:ilvl="4" w:tplc="B16AAB8A">
      <w:start w:val="1"/>
      <w:numFmt w:val="lowerLetter"/>
      <w:lvlText w:val="%5."/>
      <w:lvlJc w:val="left"/>
      <w:pPr>
        <w:ind w:left="3524" w:hanging="360"/>
      </w:pPr>
      <w:rPr>
        <w:rFonts w:hint="default"/>
      </w:rPr>
    </w:lvl>
    <w:lvl w:ilvl="5" w:tplc="45F8B298">
      <w:start w:val="1"/>
      <w:numFmt w:val="lowerRoman"/>
      <w:lvlText w:val="%6."/>
      <w:lvlJc w:val="right"/>
      <w:pPr>
        <w:ind w:left="4244" w:hanging="180"/>
      </w:pPr>
      <w:rPr>
        <w:rFonts w:hint="default"/>
      </w:rPr>
    </w:lvl>
    <w:lvl w:ilvl="6" w:tplc="EF66C9CC">
      <w:start w:val="1"/>
      <w:numFmt w:val="decimal"/>
      <w:lvlText w:val="%7."/>
      <w:lvlJc w:val="left"/>
      <w:pPr>
        <w:ind w:left="4964" w:hanging="360"/>
      </w:pPr>
      <w:rPr>
        <w:rFonts w:hint="default"/>
      </w:rPr>
    </w:lvl>
    <w:lvl w:ilvl="7" w:tplc="1162510A">
      <w:start w:val="1"/>
      <w:numFmt w:val="lowerLetter"/>
      <w:lvlText w:val="%8."/>
      <w:lvlJc w:val="left"/>
      <w:pPr>
        <w:ind w:left="5684" w:hanging="360"/>
      </w:pPr>
      <w:rPr>
        <w:rFonts w:hint="default"/>
      </w:rPr>
    </w:lvl>
    <w:lvl w:ilvl="8" w:tplc="568CB098">
      <w:start w:val="1"/>
      <w:numFmt w:val="lowerRoman"/>
      <w:lvlText w:val="%9."/>
      <w:lvlJc w:val="right"/>
      <w:pPr>
        <w:ind w:left="6404" w:hanging="180"/>
      </w:pPr>
      <w:rPr>
        <w:rFonts w:hint="default"/>
      </w:rPr>
    </w:lvl>
  </w:abstractNum>
  <w:abstractNum w:abstractNumId="8" w15:restartNumberingAfterBreak="0">
    <w:nsid w:val="51306EC5"/>
    <w:multiLevelType w:val="hybridMultilevel"/>
    <w:tmpl w:val="96769656"/>
    <w:lvl w:ilvl="0" w:tplc="4F4461E2">
      <w:start w:val="2"/>
      <w:numFmt w:val="decimal"/>
      <w:lvlText w:val="%1."/>
      <w:lvlJc w:val="left"/>
      <w:pPr>
        <w:ind w:left="400" w:hanging="400"/>
      </w:pPr>
      <w:rPr>
        <w:rFonts w:hint="default"/>
      </w:rPr>
    </w:lvl>
    <w:lvl w:ilvl="1" w:tplc="707A6812">
      <w:start w:val="1"/>
      <w:numFmt w:val="decimal"/>
      <w:lvlText w:val="%1.%2."/>
      <w:lvlJc w:val="left"/>
      <w:pPr>
        <w:ind w:left="400" w:hanging="400"/>
      </w:pPr>
      <w:rPr>
        <w:rFonts w:hint="default"/>
      </w:rPr>
    </w:lvl>
    <w:lvl w:ilvl="2" w:tplc="09623412">
      <w:start w:val="1"/>
      <w:numFmt w:val="decimal"/>
      <w:lvlText w:val="%1.%2.%3."/>
      <w:lvlJc w:val="left"/>
      <w:pPr>
        <w:ind w:left="720" w:hanging="720"/>
      </w:pPr>
      <w:rPr>
        <w:rFonts w:hint="default"/>
      </w:rPr>
    </w:lvl>
    <w:lvl w:ilvl="3" w:tplc="F876729E">
      <w:start w:val="1"/>
      <w:numFmt w:val="decimal"/>
      <w:lvlText w:val="%1.%2.%3.%4."/>
      <w:lvlJc w:val="left"/>
      <w:pPr>
        <w:ind w:left="720" w:hanging="720"/>
      </w:pPr>
      <w:rPr>
        <w:rFonts w:hint="default"/>
      </w:rPr>
    </w:lvl>
    <w:lvl w:ilvl="4" w:tplc="B5B6BA50">
      <w:start w:val="1"/>
      <w:numFmt w:val="decimal"/>
      <w:lvlText w:val="%1.%2.%3.%4.%5."/>
      <w:lvlJc w:val="left"/>
      <w:pPr>
        <w:ind w:left="720" w:hanging="720"/>
      </w:pPr>
      <w:rPr>
        <w:rFonts w:hint="default"/>
      </w:rPr>
    </w:lvl>
    <w:lvl w:ilvl="5" w:tplc="FE7C75C0">
      <w:start w:val="1"/>
      <w:numFmt w:val="decimal"/>
      <w:lvlText w:val="%1.%2.%3.%4.%5.%6."/>
      <w:lvlJc w:val="left"/>
      <w:pPr>
        <w:ind w:left="1080" w:hanging="1080"/>
      </w:pPr>
      <w:rPr>
        <w:rFonts w:hint="default"/>
      </w:rPr>
    </w:lvl>
    <w:lvl w:ilvl="6" w:tplc="A1108E66">
      <w:start w:val="1"/>
      <w:numFmt w:val="decimal"/>
      <w:lvlText w:val="%1.%2.%3.%4.%5.%6.%7."/>
      <w:lvlJc w:val="left"/>
      <w:pPr>
        <w:ind w:left="1080" w:hanging="1080"/>
      </w:pPr>
      <w:rPr>
        <w:rFonts w:hint="default"/>
      </w:rPr>
    </w:lvl>
    <w:lvl w:ilvl="7" w:tplc="86D28F46">
      <w:start w:val="1"/>
      <w:numFmt w:val="decimal"/>
      <w:lvlText w:val="%1.%2.%3.%4.%5.%6.%7.%8."/>
      <w:lvlJc w:val="left"/>
      <w:pPr>
        <w:ind w:left="1080" w:hanging="1080"/>
      </w:pPr>
      <w:rPr>
        <w:rFonts w:hint="default"/>
      </w:rPr>
    </w:lvl>
    <w:lvl w:ilvl="8" w:tplc="0388FA50">
      <w:start w:val="1"/>
      <w:numFmt w:val="decimal"/>
      <w:lvlText w:val="%1.%2.%3.%4.%5.%6.%7.%8.%9."/>
      <w:lvlJc w:val="left"/>
      <w:pPr>
        <w:ind w:left="1440" w:hanging="1440"/>
      </w:pPr>
      <w:rPr>
        <w:rFonts w:hint="default"/>
      </w:rPr>
    </w:lvl>
  </w:abstractNum>
  <w:abstractNum w:abstractNumId="9" w15:restartNumberingAfterBreak="0">
    <w:nsid w:val="52E31607"/>
    <w:multiLevelType w:val="multilevel"/>
    <w:tmpl w:val="85CED55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0" w15:restartNumberingAfterBreak="0">
    <w:nsid w:val="5C377606"/>
    <w:multiLevelType w:val="hybridMultilevel"/>
    <w:tmpl w:val="4ADC419A"/>
    <w:lvl w:ilvl="0" w:tplc="C1207934">
      <w:start w:val="3"/>
      <w:numFmt w:val="decimal"/>
      <w:lvlText w:val="%1."/>
      <w:lvlJc w:val="left"/>
      <w:pPr>
        <w:ind w:left="360" w:hanging="360"/>
      </w:pPr>
      <w:rPr>
        <w:rFonts w:hint="default"/>
      </w:rPr>
    </w:lvl>
    <w:lvl w:ilvl="1" w:tplc="644064EA">
      <w:start w:val="1"/>
      <w:numFmt w:val="decimal"/>
      <w:lvlText w:val="%1.%2."/>
      <w:lvlJc w:val="left"/>
      <w:pPr>
        <w:ind w:left="360" w:hanging="360"/>
      </w:pPr>
      <w:rPr>
        <w:rFonts w:hint="default"/>
      </w:rPr>
    </w:lvl>
    <w:lvl w:ilvl="2" w:tplc="FAB218E2">
      <w:start w:val="1"/>
      <w:numFmt w:val="decimal"/>
      <w:lvlText w:val="%1.%2.%3."/>
      <w:lvlJc w:val="left"/>
      <w:pPr>
        <w:ind w:left="720" w:hanging="720"/>
      </w:pPr>
      <w:rPr>
        <w:rFonts w:hint="default"/>
      </w:rPr>
    </w:lvl>
    <w:lvl w:ilvl="3" w:tplc="00983B0A">
      <w:start w:val="1"/>
      <w:numFmt w:val="decimal"/>
      <w:lvlText w:val="%1.%2.%3.%4."/>
      <w:lvlJc w:val="left"/>
      <w:pPr>
        <w:ind w:left="720" w:hanging="720"/>
      </w:pPr>
      <w:rPr>
        <w:rFonts w:hint="default"/>
      </w:rPr>
    </w:lvl>
    <w:lvl w:ilvl="4" w:tplc="80C6C616">
      <w:start w:val="1"/>
      <w:numFmt w:val="decimal"/>
      <w:lvlText w:val="%1.%2.%3.%4.%5."/>
      <w:lvlJc w:val="left"/>
      <w:pPr>
        <w:ind w:left="720" w:hanging="720"/>
      </w:pPr>
      <w:rPr>
        <w:rFonts w:hint="default"/>
      </w:rPr>
    </w:lvl>
    <w:lvl w:ilvl="5" w:tplc="F3D6116E">
      <w:start w:val="1"/>
      <w:numFmt w:val="decimal"/>
      <w:lvlText w:val="%1.%2.%3.%4.%5.%6."/>
      <w:lvlJc w:val="left"/>
      <w:pPr>
        <w:ind w:left="1080" w:hanging="1080"/>
      </w:pPr>
      <w:rPr>
        <w:rFonts w:hint="default"/>
      </w:rPr>
    </w:lvl>
    <w:lvl w:ilvl="6" w:tplc="EFA42AE4">
      <w:start w:val="1"/>
      <w:numFmt w:val="decimal"/>
      <w:lvlText w:val="%1.%2.%3.%4.%5.%6.%7."/>
      <w:lvlJc w:val="left"/>
      <w:pPr>
        <w:ind w:left="1080" w:hanging="1080"/>
      </w:pPr>
      <w:rPr>
        <w:rFonts w:hint="default"/>
      </w:rPr>
    </w:lvl>
    <w:lvl w:ilvl="7" w:tplc="BDE8E3BA">
      <w:start w:val="1"/>
      <w:numFmt w:val="decimal"/>
      <w:lvlText w:val="%1.%2.%3.%4.%5.%6.%7.%8."/>
      <w:lvlJc w:val="left"/>
      <w:pPr>
        <w:ind w:left="1080" w:hanging="1080"/>
      </w:pPr>
      <w:rPr>
        <w:rFonts w:hint="default"/>
      </w:rPr>
    </w:lvl>
    <w:lvl w:ilvl="8" w:tplc="F0AA6196">
      <w:start w:val="1"/>
      <w:numFmt w:val="decimal"/>
      <w:lvlText w:val="%1.%2.%3.%4.%5.%6.%7.%8.%9."/>
      <w:lvlJc w:val="left"/>
      <w:pPr>
        <w:ind w:left="1440" w:hanging="1440"/>
      </w:pPr>
      <w:rPr>
        <w:rFonts w:hint="default"/>
      </w:rPr>
    </w:lvl>
  </w:abstractNum>
  <w:abstractNum w:abstractNumId="11" w15:restartNumberingAfterBreak="0">
    <w:nsid w:val="6A86555B"/>
    <w:multiLevelType w:val="hybridMultilevel"/>
    <w:tmpl w:val="69509E02"/>
    <w:lvl w:ilvl="0" w:tplc="A12C7DE8">
      <w:start w:val="1"/>
      <w:numFmt w:val="decimal"/>
      <w:lvlText w:val="%1."/>
      <w:lvlJc w:val="left"/>
      <w:pPr>
        <w:ind w:left="644" w:hanging="360"/>
      </w:pPr>
      <w:rPr>
        <w:rFonts w:hint="default"/>
      </w:rPr>
    </w:lvl>
    <w:lvl w:ilvl="1" w:tplc="BC28CE98">
      <w:start w:val="1"/>
      <w:numFmt w:val="lowerLetter"/>
      <w:lvlText w:val="%2."/>
      <w:lvlJc w:val="left"/>
      <w:pPr>
        <w:ind w:left="1364" w:hanging="360"/>
      </w:pPr>
    </w:lvl>
    <w:lvl w:ilvl="2" w:tplc="1FFA375A">
      <w:start w:val="1"/>
      <w:numFmt w:val="lowerRoman"/>
      <w:lvlText w:val="%3."/>
      <w:lvlJc w:val="right"/>
      <w:pPr>
        <w:ind w:left="2084" w:hanging="180"/>
      </w:pPr>
    </w:lvl>
    <w:lvl w:ilvl="3" w:tplc="F3FA7ADA">
      <w:start w:val="1"/>
      <w:numFmt w:val="decimal"/>
      <w:lvlText w:val="%4."/>
      <w:lvlJc w:val="left"/>
      <w:pPr>
        <w:ind w:left="2804" w:hanging="360"/>
      </w:pPr>
    </w:lvl>
    <w:lvl w:ilvl="4" w:tplc="86A629E6">
      <w:start w:val="1"/>
      <w:numFmt w:val="lowerLetter"/>
      <w:lvlText w:val="%5."/>
      <w:lvlJc w:val="left"/>
      <w:pPr>
        <w:ind w:left="3524" w:hanging="360"/>
      </w:pPr>
    </w:lvl>
    <w:lvl w:ilvl="5" w:tplc="B414D91A">
      <w:start w:val="1"/>
      <w:numFmt w:val="lowerRoman"/>
      <w:lvlText w:val="%6."/>
      <w:lvlJc w:val="right"/>
      <w:pPr>
        <w:ind w:left="4244" w:hanging="180"/>
      </w:pPr>
    </w:lvl>
    <w:lvl w:ilvl="6" w:tplc="33604B4C">
      <w:start w:val="1"/>
      <w:numFmt w:val="decimal"/>
      <w:lvlText w:val="%7."/>
      <w:lvlJc w:val="left"/>
      <w:pPr>
        <w:ind w:left="4964" w:hanging="360"/>
      </w:pPr>
    </w:lvl>
    <w:lvl w:ilvl="7" w:tplc="104EDA5A">
      <w:start w:val="1"/>
      <w:numFmt w:val="lowerLetter"/>
      <w:lvlText w:val="%8."/>
      <w:lvlJc w:val="left"/>
      <w:pPr>
        <w:ind w:left="5684" w:hanging="360"/>
      </w:pPr>
    </w:lvl>
    <w:lvl w:ilvl="8" w:tplc="314CB2C4">
      <w:start w:val="1"/>
      <w:numFmt w:val="lowerRoman"/>
      <w:lvlText w:val="%9."/>
      <w:lvlJc w:val="right"/>
      <w:pPr>
        <w:ind w:left="6404" w:hanging="180"/>
      </w:pPr>
    </w:lvl>
  </w:abstractNum>
  <w:abstractNum w:abstractNumId="12" w15:restartNumberingAfterBreak="0">
    <w:nsid w:val="78AD49A8"/>
    <w:multiLevelType w:val="hybridMultilevel"/>
    <w:tmpl w:val="2B7C907A"/>
    <w:lvl w:ilvl="0" w:tplc="A5AAE898">
      <w:start w:val="2"/>
      <w:numFmt w:val="decimal"/>
      <w:lvlText w:val="%1."/>
      <w:lvlJc w:val="left"/>
      <w:pPr>
        <w:ind w:left="360" w:hanging="360"/>
      </w:pPr>
      <w:rPr>
        <w:rFonts w:hint="default"/>
        <w:b/>
      </w:rPr>
    </w:lvl>
    <w:lvl w:ilvl="1" w:tplc="B298F910">
      <w:start w:val="1"/>
      <w:numFmt w:val="decimal"/>
      <w:lvlText w:val="%1.%2"/>
      <w:lvlJc w:val="left"/>
      <w:pPr>
        <w:ind w:left="360" w:hanging="360"/>
      </w:pPr>
    </w:lvl>
    <w:lvl w:ilvl="2" w:tplc="A2E80D20">
      <w:start w:val="1"/>
      <w:numFmt w:val="decimal"/>
      <w:lvlText w:val="%1.%2.%3"/>
      <w:lvlJc w:val="left"/>
      <w:pPr>
        <w:ind w:left="360" w:hanging="360"/>
      </w:pPr>
    </w:lvl>
    <w:lvl w:ilvl="3" w:tplc="F7227104">
      <w:start w:val="1"/>
      <w:numFmt w:val="decimal"/>
      <w:isLgl/>
      <w:lvlText w:val="%1.%2.%3.%4"/>
      <w:lvlJc w:val="left"/>
      <w:pPr>
        <w:ind w:left="720" w:hanging="720"/>
      </w:pPr>
      <w:rPr>
        <w:rFonts w:hint="default"/>
      </w:rPr>
    </w:lvl>
    <w:lvl w:ilvl="4" w:tplc="03DC7992">
      <w:start w:val="1"/>
      <w:numFmt w:val="decimal"/>
      <w:isLgl/>
      <w:lvlText w:val="%1.%2.%3.%4.%5"/>
      <w:lvlJc w:val="left"/>
      <w:pPr>
        <w:ind w:left="720" w:hanging="720"/>
      </w:pPr>
      <w:rPr>
        <w:rFonts w:hint="default"/>
      </w:rPr>
    </w:lvl>
    <w:lvl w:ilvl="5" w:tplc="6810CD6E">
      <w:start w:val="1"/>
      <w:numFmt w:val="decimal"/>
      <w:isLgl/>
      <w:lvlText w:val="%1.%2.%3.%4.%5.%6"/>
      <w:lvlJc w:val="left"/>
      <w:pPr>
        <w:ind w:left="1080" w:hanging="1080"/>
      </w:pPr>
      <w:rPr>
        <w:rFonts w:hint="default"/>
      </w:rPr>
    </w:lvl>
    <w:lvl w:ilvl="6" w:tplc="8C58AC10">
      <w:start w:val="1"/>
      <w:numFmt w:val="decimal"/>
      <w:isLgl/>
      <w:lvlText w:val="%1.%2.%3.%4.%5.%6.%7"/>
      <w:lvlJc w:val="left"/>
      <w:pPr>
        <w:ind w:left="1080" w:hanging="1080"/>
      </w:pPr>
      <w:rPr>
        <w:rFonts w:hint="default"/>
      </w:rPr>
    </w:lvl>
    <w:lvl w:ilvl="7" w:tplc="6560AD14">
      <w:start w:val="1"/>
      <w:numFmt w:val="decimal"/>
      <w:isLgl/>
      <w:lvlText w:val="%1.%2.%3.%4.%5.%6.%7.%8"/>
      <w:lvlJc w:val="left"/>
      <w:pPr>
        <w:ind w:left="1080" w:hanging="1080"/>
      </w:pPr>
      <w:rPr>
        <w:rFonts w:hint="default"/>
      </w:rPr>
    </w:lvl>
    <w:lvl w:ilvl="8" w:tplc="490CC43A">
      <w:start w:val="1"/>
      <w:numFmt w:val="decimal"/>
      <w:isLgl/>
      <w:lvlText w:val="%1.%2.%3.%4.%5.%6.%7.%8.%9"/>
      <w:lvlJc w:val="left"/>
      <w:pPr>
        <w:ind w:left="1440" w:hanging="1440"/>
      </w:pPr>
      <w:rPr>
        <w:rFonts w:hint="default"/>
      </w:rPr>
    </w:lvl>
  </w:abstractNum>
  <w:abstractNum w:abstractNumId="13" w15:restartNumberingAfterBreak="0">
    <w:nsid w:val="7C5F1F3B"/>
    <w:multiLevelType w:val="hybridMultilevel"/>
    <w:tmpl w:val="BB3A155E"/>
    <w:lvl w:ilvl="0" w:tplc="0C0A0001">
      <w:start w:val="1"/>
      <w:numFmt w:val="bullet"/>
      <w:lvlText w:val=""/>
      <w:lvlJc w:val="left"/>
      <w:pPr>
        <w:tabs>
          <w:tab w:val="num" w:pos="360"/>
        </w:tabs>
        <w:ind w:left="360" w:hanging="360"/>
      </w:pPr>
      <w:rPr>
        <w:rFonts w:ascii="Symbol" w:hAnsi="Symbol" w:hint="default"/>
      </w:rPr>
    </w:lvl>
    <w:lvl w:ilvl="1" w:tplc="2FBA6560">
      <w:start w:val="3"/>
      <w:numFmt w:val="bullet"/>
      <w:lvlText w:val="-"/>
      <w:lvlJc w:val="left"/>
      <w:pPr>
        <w:tabs>
          <w:tab w:val="num" w:pos="1080"/>
        </w:tabs>
        <w:ind w:left="1080" w:hanging="360"/>
      </w:pPr>
      <w:rPr>
        <w:rFonts w:ascii="Arial" w:eastAsia="Times New Roman" w:hAnsi="Aria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2"/>
  </w:num>
  <w:num w:numId="3">
    <w:abstractNumId w:val="5"/>
  </w:num>
  <w:num w:numId="4">
    <w:abstractNumId w:val="4"/>
  </w:num>
  <w:num w:numId="5">
    <w:abstractNumId w:val="8"/>
  </w:num>
  <w:num w:numId="6">
    <w:abstractNumId w:val="6"/>
  </w:num>
  <w:num w:numId="7">
    <w:abstractNumId w:val="3"/>
  </w:num>
  <w:num w:numId="8">
    <w:abstractNumId w:val="1"/>
  </w:num>
  <w:num w:numId="9">
    <w:abstractNumId w:val="6"/>
  </w:num>
  <w:num w:numId="10">
    <w:abstractNumId w:val="7"/>
  </w:num>
  <w:num w:numId="1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3"/>
  </w:num>
  <w:num w:numId="16">
    <w:abstractNumId w:val="0"/>
  </w:num>
  <w:num w:numId="1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C95"/>
    <w:rsid w:val="000000D7"/>
    <w:rsid w:val="00000D3B"/>
    <w:rsid w:val="000013D1"/>
    <w:rsid w:val="00001AD3"/>
    <w:rsid w:val="00001D51"/>
    <w:rsid w:val="00002126"/>
    <w:rsid w:val="00002D1B"/>
    <w:rsid w:val="00002F4F"/>
    <w:rsid w:val="000031F0"/>
    <w:rsid w:val="0000367D"/>
    <w:rsid w:val="0000418F"/>
    <w:rsid w:val="00004891"/>
    <w:rsid w:val="00004BA7"/>
    <w:rsid w:val="00004E23"/>
    <w:rsid w:val="00005420"/>
    <w:rsid w:val="00005CF6"/>
    <w:rsid w:val="00007826"/>
    <w:rsid w:val="00007D77"/>
    <w:rsid w:val="00007EA3"/>
    <w:rsid w:val="00010461"/>
    <w:rsid w:val="0001122C"/>
    <w:rsid w:val="00011993"/>
    <w:rsid w:val="00011BEA"/>
    <w:rsid w:val="00012004"/>
    <w:rsid w:val="0001221C"/>
    <w:rsid w:val="000123E3"/>
    <w:rsid w:val="00013041"/>
    <w:rsid w:val="00013428"/>
    <w:rsid w:val="00014027"/>
    <w:rsid w:val="000142FE"/>
    <w:rsid w:val="00014504"/>
    <w:rsid w:val="000145EA"/>
    <w:rsid w:val="00014857"/>
    <w:rsid w:val="00014EAF"/>
    <w:rsid w:val="000150B2"/>
    <w:rsid w:val="000155A9"/>
    <w:rsid w:val="000156C4"/>
    <w:rsid w:val="00015CE1"/>
    <w:rsid w:val="00015F6C"/>
    <w:rsid w:val="00015FCC"/>
    <w:rsid w:val="000160C5"/>
    <w:rsid w:val="0001642D"/>
    <w:rsid w:val="00016482"/>
    <w:rsid w:val="0001757D"/>
    <w:rsid w:val="00017A13"/>
    <w:rsid w:val="0002058C"/>
    <w:rsid w:val="0002073D"/>
    <w:rsid w:val="000218DA"/>
    <w:rsid w:val="00021A77"/>
    <w:rsid w:val="00021D2A"/>
    <w:rsid w:val="00021FA6"/>
    <w:rsid w:val="00022354"/>
    <w:rsid w:val="0002249D"/>
    <w:rsid w:val="00022533"/>
    <w:rsid w:val="00023B7D"/>
    <w:rsid w:val="00023CC6"/>
    <w:rsid w:val="00023F0F"/>
    <w:rsid w:val="000245DA"/>
    <w:rsid w:val="0002484D"/>
    <w:rsid w:val="00024C52"/>
    <w:rsid w:val="00024E21"/>
    <w:rsid w:val="00025A39"/>
    <w:rsid w:val="00025F91"/>
    <w:rsid w:val="00026602"/>
    <w:rsid w:val="00026654"/>
    <w:rsid w:val="00026692"/>
    <w:rsid w:val="000271DD"/>
    <w:rsid w:val="00027428"/>
    <w:rsid w:val="00027CD6"/>
    <w:rsid w:val="00030C6D"/>
    <w:rsid w:val="00031028"/>
    <w:rsid w:val="0003121F"/>
    <w:rsid w:val="00031429"/>
    <w:rsid w:val="00031EFB"/>
    <w:rsid w:val="0003229C"/>
    <w:rsid w:val="00033014"/>
    <w:rsid w:val="00033330"/>
    <w:rsid w:val="00033AA5"/>
    <w:rsid w:val="000340BA"/>
    <w:rsid w:val="00034617"/>
    <w:rsid w:val="000348B4"/>
    <w:rsid w:val="00034F68"/>
    <w:rsid w:val="000352B7"/>
    <w:rsid w:val="000363E1"/>
    <w:rsid w:val="00037D48"/>
    <w:rsid w:val="00037E1B"/>
    <w:rsid w:val="00040AE4"/>
    <w:rsid w:val="00040F58"/>
    <w:rsid w:val="000410B7"/>
    <w:rsid w:val="000415BB"/>
    <w:rsid w:val="00041A83"/>
    <w:rsid w:val="00042424"/>
    <w:rsid w:val="000428FD"/>
    <w:rsid w:val="00043524"/>
    <w:rsid w:val="00043577"/>
    <w:rsid w:val="00043E36"/>
    <w:rsid w:val="00044354"/>
    <w:rsid w:val="00044654"/>
    <w:rsid w:val="000447AE"/>
    <w:rsid w:val="00044DCD"/>
    <w:rsid w:val="00044EE3"/>
    <w:rsid w:val="00045174"/>
    <w:rsid w:val="0004562B"/>
    <w:rsid w:val="00045819"/>
    <w:rsid w:val="00045CF3"/>
    <w:rsid w:val="00045D18"/>
    <w:rsid w:val="00045E5E"/>
    <w:rsid w:val="00046096"/>
    <w:rsid w:val="0004631F"/>
    <w:rsid w:val="00046C22"/>
    <w:rsid w:val="00046D7F"/>
    <w:rsid w:val="00046DC2"/>
    <w:rsid w:val="0004746B"/>
    <w:rsid w:val="0004765F"/>
    <w:rsid w:val="00047DC4"/>
    <w:rsid w:val="00047FBB"/>
    <w:rsid w:val="0005092D"/>
    <w:rsid w:val="00050ADC"/>
    <w:rsid w:val="00050D5D"/>
    <w:rsid w:val="00051241"/>
    <w:rsid w:val="000513E1"/>
    <w:rsid w:val="000519E1"/>
    <w:rsid w:val="00052683"/>
    <w:rsid w:val="00052CDC"/>
    <w:rsid w:val="00053E1C"/>
    <w:rsid w:val="00053F07"/>
    <w:rsid w:val="000542F5"/>
    <w:rsid w:val="000554EE"/>
    <w:rsid w:val="000555F0"/>
    <w:rsid w:val="0005590C"/>
    <w:rsid w:val="000564F1"/>
    <w:rsid w:val="00056C99"/>
    <w:rsid w:val="000571DC"/>
    <w:rsid w:val="000575EA"/>
    <w:rsid w:val="0005778F"/>
    <w:rsid w:val="000603CC"/>
    <w:rsid w:val="000603E9"/>
    <w:rsid w:val="00060754"/>
    <w:rsid w:val="000607DD"/>
    <w:rsid w:val="000616DF"/>
    <w:rsid w:val="00061DB1"/>
    <w:rsid w:val="00061EB0"/>
    <w:rsid w:val="00061FE9"/>
    <w:rsid w:val="00062C9E"/>
    <w:rsid w:val="00062F89"/>
    <w:rsid w:val="00063251"/>
    <w:rsid w:val="00063714"/>
    <w:rsid w:val="00063753"/>
    <w:rsid w:val="00064BB8"/>
    <w:rsid w:val="00065029"/>
    <w:rsid w:val="00065170"/>
    <w:rsid w:val="000657F2"/>
    <w:rsid w:val="00065C8F"/>
    <w:rsid w:val="00065E27"/>
    <w:rsid w:val="000664D9"/>
    <w:rsid w:val="00067AF4"/>
    <w:rsid w:val="00067D60"/>
    <w:rsid w:val="000706AD"/>
    <w:rsid w:val="0007070B"/>
    <w:rsid w:val="00070CAD"/>
    <w:rsid w:val="000710C0"/>
    <w:rsid w:val="00072B05"/>
    <w:rsid w:val="000735A4"/>
    <w:rsid w:val="00074CFE"/>
    <w:rsid w:val="00074EAB"/>
    <w:rsid w:val="0007509A"/>
    <w:rsid w:val="00075449"/>
    <w:rsid w:val="0007586F"/>
    <w:rsid w:val="00075AAB"/>
    <w:rsid w:val="00075E2A"/>
    <w:rsid w:val="00075E90"/>
    <w:rsid w:val="0007655B"/>
    <w:rsid w:val="00076656"/>
    <w:rsid w:val="000766F3"/>
    <w:rsid w:val="00076724"/>
    <w:rsid w:val="00076804"/>
    <w:rsid w:val="000769C4"/>
    <w:rsid w:val="00076EA5"/>
    <w:rsid w:val="000776CC"/>
    <w:rsid w:val="00077852"/>
    <w:rsid w:val="00077BC3"/>
    <w:rsid w:val="000805A2"/>
    <w:rsid w:val="000807CA"/>
    <w:rsid w:val="00080A2A"/>
    <w:rsid w:val="000815F6"/>
    <w:rsid w:val="000824BE"/>
    <w:rsid w:val="0008279A"/>
    <w:rsid w:val="00082DA9"/>
    <w:rsid w:val="00082E80"/>
    <w:rsid w:val="000839EF"/>
    <w:rsid w:val="00083A34"/>
    <w:rsid w:val="00083E9E"/>
    <w:rsid w:val="00084073"/>
    <w:rsid w:val="000845C2"/>
    <w:rsid w:val="0008462F"/>
    <w:rsid w:val="00084679"/>
    <w:rsid w:val="000846F6"/>
    <w:rsid w:val="00084F56"/>
    <w:rsid w:val="0008503F"/>
    <w:rsid w:val="00085240"/>
    <w:rsid w:val="00085950"/>
    <w:rsid w:val="0008644C"/>
    <w:rsid w:val="00086476"/>
    <w:rsid w:val="000865D7"/>
    <w:rsid w:val="00086D61"/>
    <w:rsid w:val="0008716E"/>
    <w:rsid w:val="00087C9F"/>
    <w:rsid w:val="0009030D"/>
    <w:rsid w:val="0009067C"/>
    <w:rsid w:val="00090904"/>
    <w:rsid w:val="00091759"/>
    <w:rsid w:val="00091AE8"/>
    <w:rsid w:val="00091BA4"/>
    <w:rsid w:val="00091DFA"/>
    <w:rsid w:val="00092011"/>
    <w:rsid w:val="0009304B"/>
    <w:rsid w:val="00093897"/>
    <w:rsid w:val="000938B5"/>
    <w:rsid w:val="00094091"/>
    <w:rsid w:val="00094139"/>
    <w:rsid w:val="00094704"/>
    <w:rsid w:val="00094A90"/>
    <w:rsid w:val="00094D8C"/>
    <w:rsid w:val="00094DE0"/>
    <w:rsid w:val="00094FFF"/>
    <w:rsid w:val="000953E5"/>
    <w:rsid w:val="00097042"/>
    <w:rsid w:val="0009788E"/>
    <w:rsid w:val="00097C1A"/>
    <w:rsid w:val="00097C75"/>
    <w:rsid w:val="000A01DC"/>
    <w:rsid w:val="000A0758"/>
    <w:rsid w:val="000A104F"/>
    <w:rsid w:val="000A15BF"/>
    <w:rsid w:val="000A1A92"/>
    <w:rsid w:val="000A1E7B"/>
    <w:rsid w:val="000A2821"/>
    <w:rsid w:val="000A282E"/>
    <w:rsid w:val="000A4238"/>
    <w:rsid w:val="000A4475"/>
    <w:rsid w:val="000A4E72"/>
    <w:rsid w:val="000A588D"/>
    <w:rsid w:val="000A6ED6"/>
    <w:rsid w:val="000A7677"/>
    <w:rsid w:val="000A7AF6"/>
    <w:rsid w:val="000B0ADA"/>
    <w:rsid w:val="000B0E2E"/>
    <w:rsid w:val="000B0E54"/>
    <w:rsid w:val="000B12A6"/>
    <w:rsid w:val="000B1488"/>
    <w:rsid w:val="000B2230"/>
    <w:rsid w:val="000B272F"/>
    <w:rsid w:val="000B2BE6"/>
    <w:rsid w:val="000B3367"/>
    <w:rsid w:val="000B4346"/>
    <w:rsid w:val="000B4490"/>
    <w:rsid w:val="000B463F"/>
    <w:rsid w:val="000B48C9"/>
    <w:rsid w:val="000B4E55"/>
    <w:rsid w:val="000B4EE1"/>
    <w:rsid w:val="000B516F"/>
    <w:rsid w:val="000B5183"/>
    <w:rsid w:val="000B5790"/>
    <w:rsid w:val="000B61AC"/>
    <w:rsid w:val="000B63EF"/>
    <w:rsid w:val="000B6426"/>
    <w:rsid w:val="000B649B"/>
    <w:rsid w:val="000B70F7"/>
    <w:rsid w:val="000B77AF"/>
    <w:rsid w:val="000C0660"/>
    <w:rsid w:val="000C06C5"/>
    <w:rsid w:val="000C06C7"/>
    <w:rsid w:val="000C155B"/>
    <w:rsid w:val="000C1B9B"/>
    <w:rsid w:val="000C1D64"/>
    <w:rsid w:val="000C1ECE"/>
    <w:rsid w:val="000C3B1D"/>
    <w:rsid w:val="000C3E27"/>
    <w:rsid w:val="000C4268"/>
    <w:rsid w:val="000C4518"/>
    <w:rsid w:val="000C4949"/>
    <w:rsid w:val="000C4F1F"/>
    <w:rsid w:val="000C4FE6"/>
    <w:rsid w:val="000C564A"/>
    <w:rsid w:val="000C5C18"/>
    <w:rsid w:val="000C6219"/>
    <w:rsid w:val="000C72E2"/>
    <w:rsid w:val="000C7B29"/>
    <w:rsid w:val="000C7FD3"/>
    <w:rsid w:val="000D04EE"/>
    <w:rsid w:val="000D09FB"/>
    <w:rsid w:val="000D0BCD"/>
    <w:rsid w:val="000D1359"/>
    <w:rsid w:val="000D14B4"/>
    <w:rsid w:val="000D15D7"/>
    <w:rsid w:val="000D183F"/>
    <w:rsid w:val="000D33BB"/>
    <w:rsid w:val="000D38B7"/>
    <w:rsid w:val="000D3FF2"/>
    <w:rsid w:val="000D4433"/>
    <w:rsid w:val="000D4861"/>
    <w:rsid w:val="000D4D30"/>
    <w:rsid w:val="000D626C"/>
    <w:rsid w:val="000D62B1"/>
    <w:rsid w:val="000D65FD"/>
    <w:rsid w:val="000D744F"/>
    <w:rsid w:val="000D75EA"/>
    <w:rsid w:val="000D7712"/>
    <w:rsid w:val="000D798D"/>
    <w:rsid w:val="000D7A0F"/>
    <w:rsid w:val="000D7E1F"/>
    <w:rsid w:val="000E027B"/>
    <w:rsid w:val="000E02DF"/>
    <w:rsid w:val="000E0402"/>
    <w:rsid w:val="000E04AA"/>
    <w:rsid w:val="000E089B"/>
    <w:rsid w:val="000E090E"/>
    <w:rsid w:val="000E0AFA"/>
    <w:rsid w:val="000E0B47"/>
    <w:rsid w:val="000E10FD"/>
    <w:rsid w:val="000E131D"/>
    <w:rsid w:val="000E13AF"/>
    <w:rsid w:val="000E16C1"/>
    <w:rsid w:val="000E1A15"/>
    <w:rsid w:val="000E1A81"/>
    <w:rsid w:val="000E2289"/>
    <w:rsid w:val="000E2388"/>
    <w:rsid w:val="000E2752"/>
    <w:rsid w:val="000E2E33"/>
    <w:rsid w:val="000E346C"/>
    <w:rsid w:val="000E3482"/>
    <w:rsid w:val="000E35CA"/>
    <w:rsid w:val="000E3933"/>
    <w:rsid w:val="000E39D0"/>
    <w:rsid w:val="000E409F"/>
    <w:rsid w:val="000E55F0"/>
    <w:rsid w:val="000E56F3"/>
    <w:rsid w:val="000E591A"/>
    <w:rsid w:val="000E5990"/>
    <w:rsid w:val="000E5D39"/>
    <w:rsid w:val="000E6340"/>
    <w:rsid w:val="000E7088"/>
    <w:rsid w:val="000E7359"/>
    <w:rsid w:val="000E7B7D"/>
    <w:rsid w:val="000F1CD3"/>
    <w:rsid w:val="000F2E8D"/>
    <w:rsid w:val="000F2FC8"/>
    <w:rsid w:val="000F32A5"/>
    <w:rsid w:val="000F3397"/>
    <w:rsid w:val="000F3518"/>
    <w:rsid w:val="000F3FFA"/>
    <w:rsid w:val="000F442D"/>
    <w:rsid w:val="000F49A4"/>
    <w:rsid w:val="000F4BB5"/>
    <w:rsid w:val="000F4D9C"/>
    <w:rsid w:val="000F5333"/>
    <w:rsid w:val="000F5556"/>
    <w:rsid w:val="000F6421"/>
    <w:rsid w:val="000F69BA"/>
    <w:rsid w:val="000F6FE1"/>
    <w:rsid w:val="000F748D"/>
    <w:rsid w:val="00101235"/>
    <w:rsid w:val="00101A9A"/>
    <w:rsid w:val="00101BA9"/>
    <w:rsid w:val="00103200"/>
    <w:rsid w:val="00103202"/>
    <w:rsid w:val="00103273"/>
    <w:rsid w:val="001036FC"/>
    <w:rsid w:val="0010453A"/>
    <w:rsid w:val="00105535"/>
    <w:rsid w:val="00105E24"/>
    <w:rsid w:val="0010634F"/>
    <w:rsid w:val="00106710"/>
    <w:rsid w:val="00106900"/>
    <w:rsid w:val="00106CF0"/>
    <w:rsid w:val="00106D76"/>
    <w:rsid w:val="00106F75"/>
    <w:rsid w:val="0010700A"/>
    <w:rsid w:val="00107463"/>
    <w:rsid w:val="0010746B"/>
    <w:rsid w:val="00107639"/>
    <w:rsid w:val="0010794D"/>
    <w:rsid w:val="001105B2"/>
    <w:rsid w:val="0011104B"/>
    <w:rsid w:val="001126CB"/>
    <w:rsid w:val="001126FA"/>
    <w:rsid w:val="001130ED"/>
    <w:rsid w:val="001132ED"/>
    <w:rsid w:val="00113352"/>
    <w:rsid w:val="001137EB"/>
    <w:rsid w:val="00115203"/>
    <w:rsid w:val="00115620"/>
    <w:rsid w:val="001157E2"/>
    <w:rsid w:val="001158A5"/>
    <w:rsid w:val="00115B1D"/>
    <w:rsid w:val="00115D14"/>
    <w:rsid w:val="001160BA"/>
    <w:rsid w:val="00116235"/>
    <w:rsid w:val="001162DC"/>
    <w:rsid w:val="00116952"/>
    <w:rsid w:val="00117439"/>
    <w:rsid w:val="0011776C"/>
    <w:rsid w:val="0012122F"/>
    <w:rsid w:val="00122A3B"/>
    <w:rsid w:val="00122ED7"/>
    <w:rsid w:val="00122F36"/>
    <w:rsid w:val="0012319E"/>
    <w:rsid w:val="00123CB3"/>
    <w:rsid w:val="001247C0"/>
    <w:rsid w:val="0012497E"/>
    <w:rsid w:val="00124E82"/>
    <w:rsid w:val="00125491"/>
    <w:rsid w:val="001256F3"/>
    <w:rsid w:val="00125CB5"/>
    <w:rsid w:val="00125E92"/>
    <w:rsid w:val="00125F4D"/>
    <w:rsid w:val="0012696A"/>
    <w:rsid w:val="001269C9"/>
    <w:rsid w:val="001278A0"/>
    <w:rsid w:val="00130089"/>
    <w:rsid w:val="001300B4"/>
    <w:rsid w:val="001300C2"/>
    <w:rsid w:val="001317C0"/>
    <w:rsid w:val="00131FE3"/>
    <w:rsid w:val="00132D0C"/>
    <w:rsid w:val="0013372B"/>
    <w:rsid w:val="00133794"/>
    <w:rsid w:val="00133F94"/>
    <w:rsid w:val="00134708"/>
    <w:rsid w:val="00135157"/>
    <w:rsid w:val="0013534B"/>
    <w:rsid w:val="00135432"/>
    <w:rsid w:val="001357C2"/>
    <w:rsid w:val="001360C5"/>
    <w:rsid w:val="001368F7"/>
    <w:rsid w:val="00136FEC"/>
    <w:rsid w:val="00137621"/>
    <w:rsid w:val="001376DF"/>
    <w:rsid w:val="00137A1A"/>
    <w:rsid w:val="001401F5"/>
    <w:rsid w:val="001402CF"/>
    <w:rsid w:val="001404B8"/>
    <w:rsid w:val="00140602"/>
    <w:rsid w:val="00140951"/>
    <w:rsid w:val="00141270"/>
    <w:rsid w:val="00141959"/>
    <w:rsid w:val="00141BE6"/>
    <w:rsid w:val="00142041"/>
    <w:rsid w:val="00142951"/>
    <w:rsid w:val="00142CCD"/>
    <w:rsid w:val="001431F4"/>
    <w:rsid w:val="0014384C"/>
    <w:rsid w:val="001443D9"/>
    <w:rsid w:val="00144B44"/>
    <w:rsid w:val="00144E3F"/>
    <w:rsid w:val="00145373"/>
    <w:rsid w:val="00145505"/>
    <w:rsid w:val="0014579D"/>
    <w:rsid w:val="00145846"/>
    <w:rsid w:val="00145B14"/>
    <w:rsid w:val="0014652D"/>
    <w:rsid w:val="00146B68"/>
    <w:rsid w:val="001471F5"/>
    <w:rsid w:val="001472E7"/>
    <w:rsid w:val="001474F7"/>
    <w:rsid w:val="00147A4E"/>
    <w:rsid w:val="00147C9A"/>
    <w:rsid w:val="00147FF0"/>
    <w:rsid w:val="00150167"/>
    <w:rsid w:val="001502D7"/>
    <w:rsid w:val="00150B54"/>
    <w:rsid w:val="001510A7"/>
    <w:rsid w:val="00151721"/>
    <w:rsid w:val="0015199F"/>
    <w:rsid w:val="001522AE"/>
    <w:rsid w:val="001527C8"/>
    <w:rsid w:val="00152839"/>
    <w:rsid w:val="00152B75"/>
    <w:rsid w:val="00153238"/>
    <w:rsid w:val="00153B8F"/>
    <w:rsid w:val="00153EF0"/>
    <w:rsid w:val="001553DA"/>
    <w:rsid w:val="00155741"/>
    <w:rsid w:val="001557C0"/>
    <w:rsid w:val="00155FEB"/>
    <w:rsid w:val="001560B6"/>
    <w:rsid w:val="001563F2"/>
    <w:rsid w:val="0015656E"/>
    <w:rsid w:val="00156834"/>
    <w:rsid w:val="00157593"/>
    <w:rsid w:val="00157FF8"/>
    <w:rsid w:val="00160514"/>
    <w:rsid w:val="00160620"/>
    <w:rsid w:val="00160D14"/>
    <w:rsid w:val="00161C62"/>
    <w:rsid w:val="00161F05"/>
    <w:rsid w:val="00162434"/>
    <w:rsid w:val="00162C19"/>
    <w:rsid w:val="00163425"/>
    <w:rsid w:val="001634F4"/>
    <w:rsid w:val="001657D6"/>
    <w:rsid w:val="001658DA"/>
    <w:rsid w:val="001667DF"/>
    <w:rsid w:val="001676AF"/>
    <w:rsid w:val="001678E0"/>
    <w:rsid w:val="00167DC9"/>
    <w:rsid w:val="0017032F"/>
    <w:rsid w:val="00170EE2"/>
    <w:rsid w:val="0017104F"/>
    <w:rsid w:val="0017111E"/>
    <w:rsid w:val="001718BE"/>
    <w:rsid w:val="0017259E"/>
    <w:rsid w:val="0017260D"/>
    <w:rsid w:val="00172716"/>
    <w:rsid w:val="00172D1B"/>
    <w:rsid w:val="00172F54"/>
    <w:rsid w:val="00173151"/>
    <w:rsid w:val="001731B8"/>
    <w:rsid w:val="00173B25"/>
    <w:rsid w:val="00173F0A"/>
    <w:rsid w:val="001742D0"/>
    <w:rsid w:val="001747B8"/>
    <w:rsid w:val="00175061"/>
    <w:rsid w:val="00175441"/>
    <w:rsid w:val="00175E0C"/>
    <w:rsid w:val="00175E84"/>
    <w:rsid w:val="00175F40"/>
    <w:rsid w:val="001764E3"/>
    <w:rsid w:val="00176AA3"/>
    <w:rsid w:val="00176B56"/>
    <w:rsid w:val="001773C2"/>
    <w:rsid w:val="0017767D"/>
    <w:rsid w:val="00177DD5"/>
    <w:rsid w:val="001819E4"/>
    <w:rsid w:val="00181FDB"/>
    <w:rsid w:val="001821C3"/>
    <w:rsid w:val="001821D7"/>
    <w:rsid w:val="00182617"/>
    <w:rsid w:val="00182E79"/>
    <w:rsid w:val="001842CB"/>
    <w:rsid w:val="00184B30"/>
    <w:rsid w:val="00184C19"/>
    <w:rsid w:val="00185517"/>
    <w:rsid w:val="001876FE"/>
    <w:rsid w:val="0018796A"/>
    <w:rsid w:val="00187A05"/>
    <w:rsid w:val="00187A8A"/>
    <w:rsid w:val="00187EA3"/>
    <w:rsid w:val="00187F39"/>
    <w:rsid w:val="001909BC"/>
    <w:rsid w:val="00190B80"/>
    <w:rsid w:val="0019272A"/>
    <w:rsid w:val="001935EB"/>
    <w:rsid w:val="00194933"/>
    <w:rsid w:val="00195CE3"/>
    <w:rsid w:val="00196A5D"/>
    <w:rsid w:val="001A01EB"/>
    <w:rsid w:val="001A067E"/>
    <w:rsid w:val="001A0EA4"/>
    <w:rsid w:val="001A1457"/>
    <w:rsid w:val="001A1625"/>
    <w:rsid w:val="001A16DD"/>
    <w:rsid w:val="001A1F72"/>
    <w:rsid w:val="001A22F6"/>
    <w:rsid w:val="001A2BC5"/>
    <w:rsid w:val="001A3798"/>
    <w:rsid w:val="001A437F"/>
    <w:rsid w:val="001A5899"/>
    <w:rsid w:val="001A5BAE"/>
    <w:rsid w:val="001A6FE8"/>
    <w:rsid w:val="001A767C"/>
    <w:rsid w:val="001A77D0"/>
    <w:rsid w:val="001A7ADB"/>
    <w:rsid w:val="001A7DC9"/>
    <w:rsid w:val="001B0B18"/>
    <w:rsid w:val="001B0F56"/>
    <w:rsid w:val="001B2285"/>
    <w:rsid w:val="001B38DB"/>
    <w:rsid w:val="001B3DD2"/>
    <w:rsid w:val="001B3FE5"/>
    <w:rsid w:val="001B48D2"/>
    <w:rsid w:val="001B5592"/>
    <w:rsid w:val="001B5A85"/>
    <w:rsid w:val="001B6219"/>
    <w:rsid w:val="001B6AFD"/>
    <w:rsid w:val="001B74A2"/>
    <w:rsid w:val="001B758A"/>
    <w:rsid w:val="001B7ABB"/>
    <w:rsid w:val="001C097C"/>
    <w:rsid w:val="001C0E1E"/>
    <w:rsid w:val="001C0F5B"/>
    <w:rsid w:val="001C2FD1"/>
    <w:rsid w:val="001C33AA"/>
    <w:rsid w:val="001C34BE"/>
    <w:rsid w:val="001C38AB"/>
    <w:rsid w:val="001C3DF2"/>
    <w:rsid w:val="001C4377"/>
    <w:rsid w:val="001C45A4"/>
    <w:rsid w:val="001C4748"/>
    <w:rsid w:val="001C4763"/>
    <w:rsid w:val="001C476A"/>
    <w:rsid w:val="001C5B58"/>
    <w:rsid w:val="001C6598"/>
    <w:rsid w:val="001C6906"/>
    <w:rsid w:val="001C7281"/>
    <w:rsid w:val="001C74DF"/>
    <w:rsid w:val="001C789C"/>
    <w:rsid w:val="001C7C9E"/>
    <w:rsid w:val="001D089C"/>
    <w:rsid w:val="001D0A57"/>
    <w:rsid w:val="001D0C99"/>
    <w:rsid w:val="001D1061"/>
    <w:rsid w:val="001D12DC"/>
    <w:rsid w:val="001D1B24"/>
    <w:rsid w:val="001D257E"/>
    <w:rsid w:val="001D2FFF"/>
    <w:rsid w:val="001D32C0"/>
    <w:rsid w:val="001D351B"/>
    <w:rsid w:val="001D3C7E"/>
    <w:rsid w:val="001D43B6"/>
    <w:rsid w:val="001D55C0"/>
    <w:rsid w:val="001D5662"/>
    <w:rsid w:val="001D568F"/>
    <w:rsid w:val="001D652C"/>
    <w:rsid w:val="001D665E"/>
    <w:rsid w:val="001D6CCA"/>
    <w:rsid w:val="001D6D9D"/>
    <w:rsid w:val="001D6E95"/>
    <w:rsid w:val="001D72DE"/>
    <w:rsid w:val="001D7BEA"/>
    <w:rsid w:val="001E0144"/>
    <w:rsid w:val="001E0666"/>
    <w:rsid w:val="001E182F"/>
    <w:rsid w:val="001E1847"/>
    <w:rsid w:val="001E1E9B"/>
    <w:rsid w:val="001E209C"/>
    <w:rsid w:val="001E23AA"/>
    <w:rsid w:val="001E2F7B"/>
    <w:rsid w:val="001E32C5"/>
    <w:rsid w:val="001E36F4"/>
    <w:rsid w:val="001E38FA"/>
    <w:rsid w:val="001E3EE4"/>
    <w:rsid w:val="001E43E5"/>
    <w:rsid w:val="001E4B95"/>
    <w:rsid w:val="001E54EF"/>
    <w:rsid w:val="001E5542"/>
    <w:rsid w:val="001E5CCC"/>
    <w:rsid w:val="001E6220"/>
    <w:rsid w:val="001E642C"/>
    <w:rsid w:val="001E646C"/>
    <w:rsid w:val="001E686A"/>
    <w:rsid w:val="001E7CA1"/>
    <w:rsid w:val="001E7D96"/>
    <w:rsid w:val="001F04BC"/>
    <w:rsid w:val="001F0869"/>
    <w:rsid w:val="001F0C78"/>
    <w:rsid w:val="001F19CF"/>
    <w:rsid w:val="001F22B7"/>
    <w:rsid w:val="001F22CE"/>
    <w:rsid w:val="001F2B49"/>
    <w:rsid w:val="001F3198"/>
    <w:rsid w:val="001F3395"/>
    <w:rsid w:val="001F4544"/>
    <w:rsid w:val="001F4F3B"/>
    <w:rsid w:val="001F542F"/>
    <w:rsid w:val="001F5543"/>
    <w:rsid w:val="001F563E"/>
    <w:rsid w:val="001F5D53"/>
    <w:rsid w:val="001F7D8B"/>
    <w:rsid w:val="00200285"/>
    <w:rsid w:val="0020053A"/>
    <w:rsid w:val="002005A8"/>
    <w:rsid w:val="00200A16"/>
    <w:rsid w:val="002010B6"/>
    <w:rsid w:val="002018B3"/>
    <w:rsid w:val="00201968"/>
    <w:rsid w:val="00201DDF"/>
    <w:rsid w:val="0020239A"/>
    <w:rsid w:val="002031A7"/>
    <w:rsid w:val="0020331D"/>
    <w:rsid w:val="00203588"/>
    <w:rsid w:val="002038D8"/>
    <w:rsid w:val="00203A05"/>
    <w:rsid w:val="00203B8B"/>
    <w:rsid w:val="0020494D"/>
    <w:rsid w:val="00204BAC"/>
    <w:rsid w:val="00205271"/>
    <w:rsid w:val="0020546B"/>
    <w:rsid w:val="00205C64"/>
    <w:rsid w:val="00205CB7"/>
    <w:rsid w:val="002066A1"/>
    <w:rsid w:val="0020773B"/>
    <w:rsid w:val="00207DFA"/>
    <w:rsid w:val="00210421"/>
    <w:rsid w:val="0021066F"/>
    <w:rsid w:val="00211F3E"/>
    <w:rsid w:val="00211FC4"/>
    <w:rsid w:val="0021266E"/>
    <w:rsid w:val="002139A6"/>
    <w:rsid w:val="002143C4"/>
    <w:rsid w:val="00214F60"/>
    <w:rsid w:val="0021654B"/>
    <w:rsid w:val="00216884"/>
    <w:rsid w:val="00216C67"/>
    <w:rsid w:val="00216ECC"/>
    <w:rsid w:val="00216FEC"/>
    <w:rsid w:val="0022114D"/>
    <w:rsid w:val="00221460"/>
    <w:rsid w:val="00221828"/>
    <w:rsid w:val="00223167"/>
    <w:rsid w:val="00223189"/>
    <w:rsid w:val="00223482"/>
    <w:rsid w:val="002234A3"/>
    <w:rsid w:val="00223849"/>
    <w:rsid w:val="00223A9A"/>
    <w:rsid w:val="00225AF6"/>
    <w:rsid w:val="00225CE6"/>
    <w:rsid w:val="002261E4"/>
    <w:rsid w:val="00226964"/>
    <w:rsid w:val="00226B19"/>
    <w:rsid w:val="00226EC6"/>
    <w:rsid w:val="0022770B"/>
    <w:rsid w:val="00230229"/>
    <w:rsid w:val="00230318"/>
    <w:rsid w:val="0023060E"/>
    <w:rsid w:val="00231169"/>
    <w:rsid w:val="00231C90"/>
    <w:rsid w:val="00231E1A"/>
    <w:rsid w:val="00232361"/>
    <w:rsid w:val="00232AE2"/>
    <w:rsid w:val="00232CB7"/>
    <w:rsid w:val="002333F9"/>
    <w:rsid w:val="00233494"/>
    <w:rsid w:val="00233A5A"/>
    <w:rsid w:val="00233B54"/>
    <w:rsid w:val="002340DE"/>
    <w:rsid w:val="0023444C"/>
    <w:rsid w:val="00234638"/>
    <w:rsid w:val="0023483B"/>
    <w:rsid w:val="00234991"/>
    <w:rsid w:val="00234AC3"/>
    <w:rsid w:val="0023527A"/>
    <w:rsid w:val="002354D0"/>
    <w:rsid w:val="00235592"/>
    <w:rsid w:val="002356AC"/>
    <w:rsid w:val="00235B90"/>
    <w:rsid w:val="002368D8"/>
    <w:rsid w:val="00237C1C"/>
    <w:rsid w:val="00237D68"/>
    <w:rsid w:val="002405B0"/>
    <w:rsid w:val="00240AE9"/>
    <w:rsid w:val="00241206"/>
    <w:rsid w:val="00241234"/>
    <w:rsid w:val="00241952"/>
    <w:rsid w:val="0024202F"/>
    <w:rsid w:val="00242ACD"/>
    <w:rsid w:val="00242B9B"/>
    <w:rsid w:val="00243305"/>
    <w:rsid w:val="002436C4"/>
    <w:rsid w:val="00243922"/>
    <w:rsid w:val="00244431"/>
    <w:rsid w:val="00244630"/>
    <w:rsid w:val="002447F0"/>
    <w:rsid w:val="00244B9F"/>
    <w:rsid w:val="00245271"/>
    <w:rsid w:val="002456DF"/>
    <w:rsid w:val="00245B00"/>
    <w:rsid w:val="00245C25"/>
    <w:rsid w:val="0024632B"/>
    <w:rsid w:val="00246F9B"/>
    <w:rsid w:val="0024772D"/>
    <w:rsid w:val="00250578"/>
    <w:rsid w:val="00251A2B"/>
    <w:rsid w:val="00251AD3"/>
    <w:rsid w:val="00251FE2"/>
    <w:rsid w:val="002520C5"/>
    <w:rsid w:val="0025281C"/>
    <w:rsid w:val="00252ABF"/>
    <w:rsid w:val="00253B8A"/>
    <w:rsid w:val="002542EB"/>
    <w:rsid w:val="0025438D"/>
    <w:rsid w:val="00254533"/>
    <w:rsid w:val="0025469A"/>
    <w:rsid w:val="002546FA"/>
    <w:rsid w:val="002549F5"/>
    <w:rsid w:val="00254D3D"/>
    <w:rsid w:val="00254FCA"/>
    <w:rsid w:val="00255B81"/>
    <w:rsid w:val="00255CF7"/>
    <w:rsid w:val="00256049"/>
    <w:rsid w:val="0025609D"/>
    <w:rsid w:val="002569E8"/>
    <w:rsid w:val="002573C8"/>
    <w:rsid w:val="002573CE"/>
    <w:rsid w:val="00257470"/>
    <w:rsid w:val="00257C1A"/>
    <w:rsid w:val="002601A4"/>
    <w:rsid w:val="00260BAC"/>
    <w:rsid w:val="00261013"/>
    <w:rsid w:val="0026180E"/>
    <w:rsid w:val="00261A1D"/>
    <w:rsid w:val="00261ABA"/>
    <w:rsid w:val="0026237E"/>
    <w:rsid w:val="00263379"/>
    <w:rsid w:val="00263C81"/>
    <w:rsid w:val="0026446C"/>
    <w:rsid w:val="00265078"/>
    <w:rsid w:val="002652F2"/>
    <w:rsid w:val="00265AE7"/>
    <w:rsid w:val="0026649B"/>
    <w:rsid w:val="0026769E"/>
    <w:rsid w:val="00267A59"/>
    <w:rsid w:val="00267F6C"/>
    <w:rsid w:val="00267FEE"/>
    <w:rsid w:val="00270008"/>
    <w:rsid w:val="00270009"/>
    <w:rsid w:val="002704D3"/>
    <w:rsid w:val="002704E5"/>
    <w:rsid w:val="0027069B"/>
    <w:rsid w:val="00270A00"/>
    <w:rsid w:val="00270EF9"/>
    <w:rsid w:val="00270F36"/>
    <w:rsid w:val="00271B54"/>
    <w:rsid w:val="0027251B"/>
    <w:rsid w:val="002725FE"/>
    <w:rsid w:val="0027292A"/>
    <w:rsid w:val="00272A35"/>
    <w:rsid w:val="00272B9D"/>
    <w:rsid w:val="00272BB2"/>
    <w:rsid w:val="0027390F"/>
    <w:rsid w:val="00273DA6"/>
    <w:rsid w:val="0027431D"/>
    <w:rsid w:val="00274B0F"/>
    <w:rsid w:val="00276083"/>
    <w:rsid w:val="00276468"/>
    <w:rsid w:val="00276A56"/>
    <w:rsid w:val="00276C1A"/>
    <w:rsid w:val="00277683"/>
    <w:rsid w:val="00277CA7"/>
    <w:rsid w:val="00280402"/>
    <w:rsid w:val="00280965"/>
    <w:rsid w:val="00280EDF"/>
    <w:rsid w:val="00281007"/>
    <w:rsid w:val="00281156"/>
    <w:rsid w:val="00282132"/>
    <w:rsid w:val="00282951"/>
    <w:rsid w:val="00282B0A"/>
    <w:rsid w:val="00282C3C"/>
    <w:rsid w:val="00282C80"/>
    <w:rsid w:val="00282CFC"/>
    <w:rsid w:val="00283501"/>
    <w:rsid w:val="00283817"/>
    <w:rsid w:val="00283A94"/>
    <w:rsid w:val="002840C0"/>
    <w:rsid w:val="00284313"/>
    <w:rsid w:val="002846F6"/>
    <w:rsid w:val="00284DDC"/>
    <w:rsid w:val="00285CC7"/>
    <w:rsid w:val="00286320"/>
    <w:rsid w:val="002868B0"/>
    <w:rsid w:val="0028743D"/>
    <w:rsid w:val="00287CE0"/>
    <w:rsid w:val="002901EB"/>
    <w:rsid w:val="00290541"/>
    <w:rsid w:val="002908B7"/>
    <w:rsid w:val="00290C2D"/>
    <w:rsid w:val="0029102F"/>
    <w:rsid w:val="002912D8"/>
    <w:rsid w:val="00291567"/>
    <w:rsid w:val="00291EA7"/>
    <w:rsid w:val="00292669"/>
    <w:rsid w:val="00292770"/>
    <w:rsid w:val="00292776"/>
    <w:rsid w:val="002928B8"/>
    <w:rsid w:val="0029366C"/>
    <w:rsid w:val="002936D3"/>
    <w:rsid w:val="00293B2A"/>
    <w:rsid w:val="00293E03"/>
    <w:rsid w:val="00293EEA"/>
    <w:rsid w:val="0029409F"/>
    <w:rsid w:val="002944FF"/>
    <w:rsid w:val="00295EB2"/>
    <w:rsid w:val="002963F0"/>
    <w:rsid w:val="00297202"/>
    <w:rsid w:val="0029726A"/>
    <w:rsid w:val="00297BB6"/>
    <w:rsid w:val="002A0110"/>
    <w:rsid w:val="002A09C3"/>
    <w:rsid w:val="002A0B0D"/>
    <w:rsid w:val="002A0D8B"/>
    <w:rsid w:val="002A0E81"/>
    <w:rsid w:val="002A111A"/>
    <w:rsid w:val="002A1410"/>
    <w:rsid w:val="002A1631"/>
    <w:rsid w:val="002A2768"/>
    <w:rsid w:val="002A2876"/>
    <w:rsid w:val="002A2D2D"/>
    <w:rsid w:val="002A2D3E"/>
    <w:rsid w:val="002A3A8B"/>
    <w:rsid w:val="002A40B7"/>
    <w:rsid w:val="002A5163"/>
    <w:rsid w:val="002A57DE"/>
    <w:rsid w:val="002A59C1"/>
    <w:rsid w:val="002A5EB0"/>
    <w:rsid w:val="002A607A"/>
    <w:rsid w:val="002A6C3C"/>
    <w:rsid w:val="002A752E"/>
    <w:rsid w:val="002A7912"/>
    <w:rsid w:val="002A7A3B"/>
    <w:rsid w:val="002A7DA7"/>
    <w:rsid w:val="002A7F62"/>
    <w:rsid w:val="002B03D7"/>
    <w:rsid w:val="002B0E91"/>
    <w:rsid w:val="002B0F5A"/>
    <w:rsid w:val="002B10E9"/>
    <w:rsid w:val="002B1770"/>
    <w:rsid w:val="002B1CDF"/>
    <w:rsid w:val="002B3072"/>
    <w:rsid w:val="002B3494"/>
    <w:rsid w:val="002B34DB"/>
    <w:rsid w:val="002B394D"/>
    <w:rsid w:val="002B3A7A"/>
    <w:rsid w:val="002B46DA"/>
    <w:rsid w:val="002B4F3A"/>
    <w:rsid w:val="002B5841"/>
    <w:rsid w:val="002B5B77"/>
    <w:rsid w:val="002B5C14"/>
    <w:rsid w:val="002B60FD"/>
    <w:rsid w:val="002B632C"/>
    <w:rsid w:val="002B690D"/>
    <w:rsid w:val="002B6957"/>
    <w:rsid w:val="002B698A"/>
    <w:rsid w:val="002B6E1E"/>
    <w:rsid w:val="002B79D1"/>
    <w:rsid w:val="002B7F35"/>
    <w:rsid w:val="002C023B"/>
    <w:rsid w:val="002C046A"/>
    <w:rsid w:val="002C0BDE"/>
    <w:rsid w:val="002C10D2"/>
    <w:rsid w:val="002C1312"/>
    <w:rsid w:val="002C141E"/>
    <w:rsid w:val="002C1709"/>
    <w:rsid w:val="002C18DC"/>
    <w:rsid w:val="002C19A6"/>
    <w:rsid w:val="002C1ED7"/>
    <w:rsid w:val="002C2551"/>
    <w:rsid w:val="002C33E3"/>
    <w:rsid w:val="002C3627"/>
    <w:rsid w:val="002C381C"/>
    <w:rsid w:val="002C3A7E"/>
    <w:rsid w:val="002C3F2A"/>
    <w:rsid w:val="002C4203"/>
    <w:rsid w:val="002C4384"/>
    <w:rsid w:val="002C4848"/>
    <w:rsid w:val="002C4D29"/>
    <w:rsid w:val="002C4F48"/>
    <w:rsid w:val="002C586C"/>
    <w:rsid w:val="002C590D"/>
    <w:rsid w:val="002C5D0F"/>
    <w:rsid w:val="002C6275"/>
    <w:rsid w:val="002C6557"/>
    <w:rsid w:val="002C6F9D"/>
    <w:rsid w:val="002C71DF"/>
    <w:rsid w:val="002C7EE4"/>
    <w:rsid w:val="002C7F84"/>
    <w:rsid w:val="002D11DB"/>
    <w:rsid w:val="002D1C63"/>
    <w:rsid w:val="002D21FB"/>
    <w:rsid w:val="002D2337"/>
    <w:rsid w:val="002D23A4"/>
    <w:rsid w:val="002D2A5F"/>
    <w:rsid w:val="002D2C7F"/>
    <w:rsid w:val="002D2FC3"/>
    <w:rsid w:val="002D4450"/>
    <w:rsid w:val="002D44F8"/>
    <w:rsid w:val="002D4EB3"/>
    <w:rsid w:val="002D50D6"/>
    <w:rsid w:val="002D54E3"/>
    <w:rsid w:val="002D5DE4"/>
    <w:rsid w:val="002D6B2F"/>
    <w:rsid w:val="002D6F0C"/>
    <w:rsid w:val="002E061B"/>
    <w:rsid w:val="002E0A4D"/>
    <w:rsid w:val="002E0E78"/>
    <w:rsid w:val="002E0EBA"/>
    <w:rsid w:val="002E1199"/>
    <w:rsid w:val="002E11A3"/>
    <w:rsid w:val="002E1236"/>
    <w:rsid w:val="002E190C"/>
    <w:rsid w:val="002E2542"/>
    <w:rsid w:val="002E2F44"/>
    <w:rsid w:val="002E4084"/>
    <w:rsid w:val="002E47FF"/>
    <w:rsid w:val="002E4F24"/>
    <w:rsid w:val="002E6826"/>
    <w:rsid w:val="002E68C5"/>
    <w:rsid w:val="002E697B"/>
    <w:rsid w:val="002E6EB9"/>
    <w:rsid w:val="002E6F48"/>
    <w:rsid w:val="002E7352"/>
    <w:rsid w:val="002E7381"/>
    <w:rsid w:val="002E73A0"/>
    <w:rsid w:val="002E7672"/>
    <w:rsid w:val="002E7C8C"/>
    <w:rsid w:val="002E7DAE"/>
    <w:rsid w:val="002E7F09"/>
    <w:rsid w:val="002F0304"/>
    <w:rsid w:val="002F037E"/>
    <w:rsid w:val="002F04C2"/>
    <w:rsid w:val="002F04FE"/>
    <w:rsid w:val="002F051F"/>
    <w:rsid w:val="002F07A3"/>
    <w:rsid w:val="002F0A0D"/>
    <w:rsid w:val="002F10E3"/>
    <w:rsid w:val="002F1870"/>
    <w:rsid w:val="002F297E"/>
    <w:rsid w:val="002F3032"/>
    <w:rsid w:val="002F3EDA"/>
    <w:rsid w:val="002F429B"/>
    <w:rsid w:val="002F4316"/>
    <w:rsid w:val="002F4F4E"/>
    <w:rsid w:val="002F51EE"/>
    <w:rsid w:val="002F536D"/>
    <w:rsid w:val="002F5392"/>
    <w:rsid w:val="002F5BDB"/>
    <w:rsid w:val="002F5C09"/>
    <w:rsid w:val="002F643D"/>
    <w:rsid w:val="002F7740"/>
    <w:rsid w:val="002F7CF9"/>
    <w:rsid w:val="002F7E13"/>
    <w:rsid w:val="00300054"/>
    <w:rsid w:val="003005EF"/>
    <w:rsid w:val="003011D4"/>
    <w:rsid w:val="003016E6"/>
    <w:rsid w:val="00301998"/>
    <w:rsid w:val="00301AD1"/>
    <w:rsid w:val="003024CE"/>
    <w:rsid w:val="003026A9"/>
    <w:rsid w:val="0030292A"/>
    <w:rsid w:val="00302D8A"/>
    <w:rsid w:val="00303081"/>
    <w:rsid w:val="0030396C"/>
    <w:rsid w:val="00303B98"/>
    <w:rsid w:val="0030412C"/>
    <w:rsid w:val="00304BD7"/>
    <w:rsid w:val="00304C1B"/>
    <w:rsid w:val="00305140"/>
    <w:rsid w:val="0030692C"/>
    <w:rsid w:val="00306AC0"/>
    <w:rsid w:val="00306E13"/>
    <w:rsid w:val="00307B16"/>
    <w:rsid w:val="0031034A"/>
    <w:rsid w:val="00310E29"/>
    <w:rsid w:val="003113A7"/>
    <w:rsid w:val="0031146F"/>
    <w:rsid w:val="00311869"/>
    <w:rsid w:val="00312A7E"/>
    <w:rsid w:val="0031389E"/>
    <w:rsid w:val="00314114"/>
    <w:rsid w:val="00314281"/>
    <w:rsid w:val="0031462A"/>
    <w:rsid w:val="0031474D"/>
    <w:rsid w:val="0031499F"/>
    <w:rsid w:val="00314A34"/>
    <w:rsid w:val="00315354"/>
    <w:rsid w:val="00315896"/>
    <w:rsid w:val="00315A43"/>
    <w:rsid w:val="00315B2D"/>
    <w:rsid w:val="00315D26"/>
    <w:rsid w:val="00315EE2"/>
    <w:rsid w:val="003160BD"/>
    <w:rsid w:val="003166E8"/>
    <w:rsid w:val="003168C0"/>
    <w:rsid w:val="00317659"/>
    <w:rsid w:val="00317A6B"/>
    <w:rsid w:val="00317AEE"/>
    <w:rsid w:val="00317BF4"/>
    <w:rsid w:val="00321B76"/>
    <w:rsid w:val="00321CE8"/>
    <w:rsid w:val="0032253D"/>
    <w:rsid w:val="0032281D"/>
    <w:rsid w:val="0032288D"/>
    <w:rsid w:val="00323714"/>
    <w:rsid w:val="0032379B"/>
    <w:rsid w:val="00323F9D"/>
    <w:rsid w:val="0032425C"/>
    <w:rsid w:val="0032449B"/>
    <w:rsid w:val="0032489D"/>
    <w:rsid w:val="00324C9C"/>
    <w:rsid w:val="00324D5B"/>
    <w:rsid w:val="00324EB5"/>
    <w:rsid w:val="00324F2D"/>
    <w:rsid w:val="00325150"/>
    <w:rsid w:val="0032550A"/>
    <w:rsid w:val="00326105"/>
    <w:rsid w:val="00326484"/>
    <w:rsid w:val="003267E9"/>
    <w:rsid w:val="00326D69"/>
    <w:rsid w:val="00327308"/>
    <w:rsid w:val="00327828"/>
    <w:rsid w:val="00327CC7"/>
    <w:rsid w:val="00327F0C"/>
    <w:rsid w:val="003305BE"/>
    <w:rsid w:val="0033108F"/>
    <w:rsid w:val="0033132F"/>
    <w:rsid w:val="00331397"/>
    <w:rsid w:val="003318F3"/>
    <w:rsid w:val="00331DF5"/>
    <w:rsid w:val="003325CC"/>
    <w:rsid w:val="00332769"/>
    <w:rsid w:val="00332C37"/>
    <w:rsid w:val="00332FC2"/>
    <w:rsid w:val="003331B5"/>
    <w:rsid w:val="00333367"/>
    <w:rsid w:val="00333661"/>
    <w:rsid w:val="00333843"/>
    <w:rsid w:val="00333E9C"/>
    <w:rsid w:val="00334116"/>
    <w:rsid w:val="00334E33"/>
    <w:rsid w:val="003361AD"/>
    <w:rsid w:val="00337186"/>
    <w:rsid w:val="00337263"/>
    <w:rsid w:val="0033729C"/>
    <w:rsid w:val="00337413"/>
    <w:rsid w:val="00340292"/>
    <w:rsid w:val="0034029B"/>
    <w:rsid w:val="00340575"/>
    <w:rsid w:val="00340D2C"/>
    <w:rsid w:val="00340E58"/>
    <w:rsid w:val="0034142F"/>
    <w:rsid w:val="0034473D"/>
    <w:rsid w:val="00344965"/>
    <w:rsid w:val="00344C9A"/>
    <w:rsid w:val="003454F8"/>
    <w:rsid w:val="00345AFF"/>
    <w:rsid w:val="00345D76"/>
    <w:rsid w:val="00345FBD"/>
    <w:rsid w:val="00346AC8"/>
    <w:rsid w:val="00346D92"/>
    <w:rsid w:val="00347553"/>
    <w:rsid w:val="003475A0"/>
    <w:rsid w:val="003477D5"/>
    <w:rsid w:val="00347C23"/>
    <w:rsid w:val="00350A10"/>
    <w:rsid w:val="00351C37"/>
    <w:rsid w:val="00352FB7"/>
    <w:rsid w:val="003536AE"/>
    <w:rsid w:val="00353968"/>
    <w:rsid w:val="003540BA"/>
    <w:rsid w:val="0035416C"/>
    <w:rsid w:val="003546A5"/>
    <w:rsid w:val="003550E9"/>
    <w:rsid w:val="003551BA"/>
    <w:rsid w:val="003557AB"/>
    <w:rsid w:val="0035611A"/>
    <w:rsid w:val="00356C71"/>
    <w:rsid w:val="00356DE1"/>
    <w:rsid w:val="00360032"/>
    <w:rsid w:val="00360150"/>
    <w:rsid w:val="00360547"/>
    <w:rsid w:val="00360719"/>
    <w:rsid w:val="003607F9"/>
    <w:rsid w:val="00360C86"/>
    <w:rsid w:val="00360CB9"/>
    <w:rsid w:val="00361316"/>
    <w:rsid w:val="0036139E"/>
    <w:rsid w:val="00361441"/>
    <w:rsid w:val="0036177A"/>
    <w:rsid w:val="0036181C"/>
    <w:rsid w:val="00361B17"/>
    <w:rsid w:val="0036345B"/>
    <w:rsid w:val="00363B0A"/>
    <w:rsid w:val="00363B6B"/>
    <w:rsid w:val="00363EEF"/>
    <w:rsid w:val="00364180"/>
    <w:rsid w:val="00364A0A"/>
    <w:rsid w:val="00364DB1"/>
    <w:rsid w:val="00364FD5"/>
    <w:rsid w:val="003656CA"/>
    <w:rsid w:val="003658F1"/>
    <w:rsid w:val="003662C8"/>
    <w:rsid w:val="003666AE"/>
    <w:rsid w:val="0036707C"/>
    <w:rsid w:val="003670D4"/>
    <w:rsid w:val="00367A7D"/>
    <w:rsid w:val="00367C1E"/>
    <w:rsid w:val="003716D2"/>
    <w:rsid w:val="00371DDA"/>
    <w:rsid w:val="0037209B"/>
    <w:rsid w:val="00372259"/>
    <w:rsid w:val="00372583"/>
    <w:rsid w:val="00372654"/>
    <w:rsid w:val="003726D9"/>
    <w:rsid w:val="00373094"/>
    <w:rsid w:val="0037349B"/>
    <w:rsid w:val="0037388B"/>
    <w:rsid w:val="00373A4E"/>
    <w:rsid w:val="0037417B"/>
    <w:rsid w:val="003742EA"/>
    <w:rsid w:val="003743D2"/>
    <w:rsid w:val="003747F9"/>
    <w:rsid w:val="00374873"/>
    <w:rsid w:val="00374A9A"/>
    <w:rsid w:val="00374F5D"/>
    <w:rsid w:val="00375705"/>
    <w:rsid w:val="00375913"/>
    <w:rsid w:val="00375BCF"/>
    <w:rsid w:val="00375D85"/>
    <w:rsid w:val="00375DFE"/>
    <w:rsid w:val="00375F71"/>
    <w:rsid w:val="00375F9A"/>
    <w:rsid w:val="00375FE0"/>
    <w:rsid w:val="0037766F"/>
    <w:rsid w:val="00377957"/>
    <w:rsid w:val="003804B6"/>
    <w:rsid w:val="003807BE"/>
    <w:rsid w:val="00380964"/>
    <w:rsid w:val="00381270"/>
    <w:rsid w:val="003813F2"/>
    <w:rsid w:val="003814BF"/>
    <w:rsid w:val="00381C1F"/>
    <w:rsid w:val="003825FF"/>
    <w:rsid w:val="00382C15"/>
    <w:rsid w:val="00382CA7"/>
    <w:rsid w:val="00383DE6"/>
    <w:rsid w:val="0038424C"/>
    <w:rsid w:val="0038437E"/>
    <w:rsid w:val="0038469B"/>
    <w:rsid w:val="00384916"/>
    <w:rsid w:val="00384EDB"/>
    <w:rsid w:val="00385588"/>
    <w:rsid w:val="00385C73"/>
    <w:rsid w:val="00386532"/>
    <w:rsid w:val="00387623"/>
    <w:rsid w:val="003876B4"/>
    <w:rsid w:val="00390748"/>
    <w:rsid w:val="00390DD0"/>
    <w:rsid w:val="0039130E"/>
    <w:rsid w:val="00391414"/>
    <w:rsid w:val="0039224E"/>
    <w:rsid w:val="0039331F"/>
    <w:rsid w:val="0039411D"/>
    <w:rsid w:val="003946C8"/>
    <w:rsid w:val="003948A2"/>
    <w:rsid w:val="00394DC9"/>
    <w:rsid w:val="003953D4"/>
    <w:rsid w:val="00395C31"/>
    <w:rsid w:val="0039620C"/>
    <w:rsid w:val="003968F7"/>
    <w:rsid w:val="00396D3D"/>
    <w:rsid w:val="003973A7"/>
    <w:rsid w:val="00397E45"/>
    <w:rsid w:val="00397F4E"/>
    <w:rsid w:val="003A009D"/>
    <w:rsid w:val="003A1BF8"/>
    <w:rsid w:val="003A1F90"/>
    <w:rsid w:val="003A3332"/>
    <w:rsid w:val="003A392F"/>
    <w:rsid w:val="003A3A4A"/>
    <w:rsid w:val="003A44FA"/>
    <w:rsid w:val="003A540E"/>
    <w:rsid w:val="003A5D76"/>
    <w:rsid w:val="003A61F7"/>
    <w:rsid w:val="003A6739"/>
    <w:rsid w:val="003A7A9C"/>
    <w:rsid w:val="003B0FAB"/>
    <w:rsid w:val="003B1071"/>
    <w:rsid w:val="003B13B3"/>
    <w:rsid w:val="003B2DA1"/>
    <w:rsid w:val="003B2F01"/>
    <w:rsid w:val="003B3CA3"/>
    <w:rsid w:val="003B3EE5"/>
    <w:rsid w:val="003B51FE"/>
    <w:rsid w:val="003B56FB"/>
    <w:rsid w:val="003B614D"/>
    <w:rsid w:val="003B654E"/>
    <w:rsid w:val="003B65CA"/>
    <w:rsid w:val="003B6707"/>
    <w:rsid w:val="003B7327"/>
    <w:rsid w:val="003B76A6"/>
    <w:rsid w:val="003B7B97"/>
    <w:rsid w:val="003B7F31"/>
    <w:rsid w:val="003C0748"/>
    <w:rsid w:val="003C0C1E"/>
    <w:rsid w:val="003C0FBE"/>
    <w:rsid w:val="003C1D3B"/>
    <w:rsid w:val="003C23F3"/>
    <w:rsid w:val="003C2802"/>
    <w:rsid w:val="003C289C"/>
    <w:rsid w:val="003C30CE"/>
    <w:rsid w:val="003C3E6F"/>
    <w:rsid w:val="003C5F2B"/>
    <w:rsid w:val="003C607D"/>
    <w:rsid w:val="003C64D0"/>
    <w:rsid w:val="003C65C3"/>
    <w:rsid w:val="003C698A"/>
    <w:rsid w:val="003D0079"/>
    <w:rsid w:val="003D0AF4"/>
    <w:rsid w:val="003D0D3C"/>
    <w:rsid w:val="003D1254"/>
    <w:rsid w:val="003D14C5"/>
    <w:rsid w:val="003D166C"/>
    <w:rsid w:val="003D17FE"/>
    <w:rsid w:val="003D19AB"/>
    <w:rsid w:val="003D1AA5"/>
    <w:rsid w:val="003D1DEB"/>
    <w:rsid w:val="003D1E09"/>
    <w:rsid w:val="003D2429"/>
    <w:rsid w:val="003D2673"/>
    <w:rsid w:val="003D26CA"/>
    <w:rsid w:val="003D334A"/>
    <w:rsid w:val="003D38F2"/>
    <w:rsid w:val="003D3F6B"/>
    <w:rsid w:val="003D4023"/>
    <w:rsid w:val="003D403C"/>
    <w:rsid w:val="003D40B5"/>
    <w:rsid w:val="003D54B8"/>
    <w:rsid w:val="003D59FF"/>
    <w:rsid w:val="003D5A75"/>
    <w:rsid w:val="003D5EA9"/>
    <w:rsid w:val="003D648A"/>
    <w:rsid w:val="003D65AD"/>
    <w:rsid w:val="003D65ED"/>
    <w:rsid w:val="003D75D3"/>
    <w:rsid w:val="003D7C43"/>
    <w:rsid w:val="003D7F4A"/>
    <w:rsid w:val="003E001E"/>
    <w:rsid w:val="003E03DC"/>
    <w:rsid w:val="003E0898"/>
    <w:rsid w:val="003E12F5"/>
    <w:rsid w:val="003E2BC7"/>
    <w:rsid w:val="003E2C85"/>
    <w:rsid w:val="003E3106"/>
    <w:rsid w:val="003E3650"/>
    <w:rsid w:val="003E4DA9"/>
    <w:rsid w:val="003E5C88"/>
    <w:rsid w:val="003E5FF7"/>
    <w:rsid w:val="003E618B"/>
    <w:rsid w:val="003E62D6"/>
    <w:rsid w:val="003E6F30"/>
    <w:rsid w:val="003E7596"/>
    <w:rsid w:val="003F0319"/>
    <w:rsid w:val="003F0AF8"/>
    <w:rsid w:val="003F10F5"/>
    <w:rsid w:val="003F1290"/>
    <w:rsid w:val="003F12C5"/>
    <w:rsid w:val="003F1321"/>
    <w:rsid w:val="003F15BD"/>
    <w:rsid w:val="003F2A75"/>
    <w:rsid w:val="003F38AD"/>
    <w:rsid w:val="003F47F9"/>
    <w:rsid w:val="003F4BA2"/>
    <w:rsid w:val="003F5A52"/>
    <w:rsid w:val="003F5F3B"/>
    <w:rsid w:val="003F612F"/>
    <w:rsid w:val="003F70C3"/>
    <w:rsid w:val="0040015E"/>
    <w:rsid w:val="004002C2"/>
    <w:rsid w:val="00400C17"/>
    <w:rsid w:val="0040112B"/>
    <w:rsid w:val="0040129B"/>
    <w:rsid w:val="00402839"/>
    <w:rsid w:val="004034E1"/>
    <w:rsid w:val="00403546"/>
    <w:rsid w:val="004038C0"/>
    <w:rsid w:val="00403B01"/>
    <w:rsid w:val="00403C13"/>
    <w:rsid w:val="00403E12"/>
    <w:rsid w:val="0040436A"/>
    <w:rsid w:val="004043D2"/>
    <w:rsid w:val="004045CA"/>
    <w:rsid w:val="004049E7"/>
    <w:rsid w:val="00404BEA"/>
    <w:rsid w:val="004054F1"/>
    <w:rsid w:val="0040571B"/>
    <w:rsid w:val="004057D1"/>
    <w:rsid w:val="00405EC3"/>
    <w:rsid w:val="00405ED6"/>
    <w:rsid w:val="004060A4"/>
    <w:rsid w:val="00406186"/>
    <w:rsid w:val="004066D1"/>
    <w:rsid w:val="00406E40"/>
    <w:rsid w:val="00407BD9"/>
    <w:rsid w:val="00410744"/>
    <w:rsid w:val="00410989"/>
    <w:rsid w:val="00410B22"/>
    <w:rsid w:val="0041143C"/>
    <w:rsid w:val="00414B67"/>
    <w:rsid w:val="00414F1B"/>
    <w:rsid w:val="00414FF9"/>
    <w:rsid w:val="00415408"/>
    <w:rsid w:val="004154EA"/>
    <w:rsid w:val="004155E6"/>
    <w:rsid w:val="00415A77"/>
    <w:rsid w:val="0041612D"/>
    <w:rsid w:val="004166B1"/>
    <w:rsid w:val="00417180"/>
    <w:rsid w:val="00417588"/>
    <w:rsid w:val="00417F3D"/>
    <w:rsid w:val="00420524"/>
    <w:rsid w:val="004210F2"/>
    <w:rsid w:val="00421A47"/>
    <w:rsid w:val="004225A8"/>
    <w:rsid w:val="00422709"/>
    <w:rsid w:val="004229C3"/>
    <w:rsid w:val="00422BBD"/>
    <w:rsid w:val="00423841"/>
    <w:rsid w:val="00423D43"/>
    <w:rsid w:val="00423FDA"/>
    <w:rsid w:val="004251BF"/>
    <w:rsid w:val="00425449"/>
    <w:rsid w:val="00425570"/>
    <w:rsid w:val="00425715"/>
    <w:rsid w:val="004259A2"/>
    <w:rsid w:val="00425D4C"/>
    <w:rsid w:val="00425EEB"/>
    <w:rsid w:val="004261F0"/>
    <w:rsid w:val="0042660E"/>
    <w:rsid w:val="00426D00"/>
    <w:rsid w:val="00427C62"/>
    <w:rsid w:val="00427F75"/>
    <w:rsid w:val="0043054F"/>
    <w:rsid w:val="004305BE"/>
    <w:rsid w:val="004305D0"/>
    <w:rsid w:val="004308F6"/>
    <w:rsid w:val="004312FB"/>
    <w:rsid w:val="0043133D"/>
    <w:rsid w:val="00432173"/>
    <w:rsid w:val="0043254C"/>
    <w:rsid w:val="0043298D"/>
    <w:rsid w:val="00432BB0"/>
    <w:rsid w:val="00434AD6"/>
    <w:rsid w:val="00434BE8"/>
    <w:rsid w:val="00434EB0"/>
    <w:rsid w:val="00435157"/>
    <w:rsid w:val="004357B0"/>
    <w:rsid w:val="00435E65"/>
    <w:rsid w:val="0043630F"/>
    <w:rsid w:val="0043647F"/>
    <w:rsid w:val="004366F7"/>
    <w:rsid w:val="0043683E"/>
    <w:rsid w:val="00436CD2"/>
    <w:rsid w:val="00436EC3"/>
    <w:rsid w:val="004372DD"/>
    <w:rsid w:val="00437392"/>
    <w:rsid w:val="00437960"/>
    <w:rsid w:val="00437B73"/>
    <w:rsid w:val="004400C8"/>
    <w:rsid w:val="00440265"/>
    <w:rsid w:val="0044034E"/>
    <w:rsid w:val="0044045A"/>
    <w:rsid w:val="00441534"/>
    <w:rsid w:val="00441FB5"/>
    <w:rsid w:val="00441FBA"/>
    <w:rsid w:val="004429C7"/>
    <w:rsid w:val="00442D5B"/>
    <w:rsid w:val="00444078"/>
    <w:rsid w:val="00444C28"/>
    <w:rsid w:val="00444F36"/>
    <w:rsid w:val="004455B4"/>
    <w:rsid w:val="00445AE1"/>
    <w:rsid w:val="0044635A"/>
    <w:rsid w:val="00446B3C"/>
    <w:rsid w:val="00446CA9"/>
    <w:rsid w:val="00446DCE"/>
    <w:rsid w:val="00447E00"/>
    <w:rsid w:val="00447EB4"/>
    <w:rsid w:val="00447EBA"/>
    <w:rsid w:val="00450368"/>
    <w:rsid w:val="0045041A"/>
    <w:rsid w:val="00450824"/>
    <w:rsid w:val="00450CF7"/>
    <w:rsid w:val="00452963"/>
    <w:rsid w:val="00452D7F"/>
    <w:rsid w:val="00453618"/>
    <w:rsid w:val="0045364B"/>
    <w:rsid w:val="004546A7"/>
    <w:rsid w:val="004547A3"/>
    <w:rsid w:val="00454AB6"/>
    <w:rsid w:val="00454C78"/>
    <w:rsid w:val="00454E40"/>
    <w:rsid w:val="0045500E"/>
    <w:rsid w:val="00455149"/>
    <w:rsid w:val="00455219"/>
    <w:rsid w:val="00455A12"/>
    <w:rsid w:val="00455A6B"/>
    <w:rsid w:val="00455B00"/>
    <w:rsid w:val="00455C07"/>
    <w:rsid w:val="00456B7B"/>
    <w:rsid w:val="00456FFE"/>
    <w:rsid w:val="00457425"/>
    <w:rsid w:val="004615B7"/>
    <w:rsid w:val="00461C68"/>
    <w:rsid w:val="00461DEC"/>
    <w:rsid w:val="00461F14"/>
    <w:rsid w:val="00462866"/>
    <w:rsid w:val="004629FE"/>
    <w:rsid w:val="00462B32"/>
    <w:rsid w:val="00462E93"/>
    <w:rsid w:val="00462E96"/>
    <w:rsid w:val="00463946"/>
    <w:rsid w:val="00463A1A"/>
    <w:rsid w:val="00463EB2"/>
    <w:rsid w:val="004645D8"/>
    <w:rsid w:val="004652F4"/>
    <w:rsid w:val="004657BE"/>
    <w:rsid w:val="00465B30"/>
    <w:rsid w:val="004660BF"/>
    <w:rsid w:val="00466AB5"/>
    <w:rsid w:val="00466AB8"/>
    <w:rsid w:val="00466E20"/>
    <w:rsid w:val="00466E68"/>
    <w:rsid w:val="00470516"/>
    <w:rsid w:val="00470AA6"/>
    <w:rsid w:val="00471221"/>
    <w:rsid w:val="00471711"/>
    <w:rsid w:val="00471A3A"/>
    <w:rsid w:val="00471D19"/>
    <w:rsid w:val="004726B2"/>
    <w:rsid w:val="0047291D"/>
    <w:rsid w:val="00473307"/>
    <w:rsid w:val="00473432"/>
    <w:rsid w:val="004734A5"/>
    <w:rsid w:val="00473A7B"/>
    <w:rsid w:val="004745BA"/>
    <w:rsid w:val="00474930"/>
    <w:rsid w:val="00474DFC"/>
    <w:rsid w:val="004754A1"/>
    <w:rsid w:val="00475991"/>
    <w:rsid w:val="00475D70"/>
    <w:rsid w:val="004766B9"/>
    <w:rsid w:val="004769BB"/>
    <w:rsid w:val="00477DBA"/>
    <w:rsid w:val="00480266"/>
    <w:rsid w:val="00480466"/>
    <w:rsid w:val="0048098E"/>
    <w:rsid w:val="004809E7"/>
    <w:rsid w:val="00480DEB"/>
    <w:rsid w:val="00480F41"/>
    <w:rsid w:val="00481091"/>
    <w:rsid w:val="00481314"/>
    <w:rsid w:val="0048153C"/>
    <w:rsid w:val="00481863"/>
    <w:rsid w:val="00481D9C"/>
    <w:rsid w:val="0048341C"/>
    <w:rsid w:val="004836EF"/>
    <w:rsid w:val="00483CFD"/>
    <w:rsid w:val="00484311"/>
    <w:rsid w:val="00484529"/>
    <w:rsid w:val="00484677"/>
    <w:rsid w:val="00484A13"/>
    <w:rsid w:val="00485508"/>
    <w:rsid w:val="0048562D"/>
    <w:rsid w:val="00485CB9"/>
    <w:rsid w:val="00485E62"/>
    <w:rsid w:val="004865D1"/>
    <w:rsid w:val="00486658"/>
    <w:rsid w:val="00486925"/>
    <w:rsid w:val="00486D0C"/>
    <w:rsid w:val="00487588"/>
    <w:rsid w:val="00487B59"/>
    <w:rsid w:val="00487CBE"/>
    <w:rsid w:val="004906FF"/>
    <w:rsid w:val="004915CF"/>
    <w:rsid w:val="004920C5"/>
    <w:rsid w:val="004923EB"/>
    <w:rsid w:val="004926B8"/>
    <w:rsid w:val="00492B8A"/>
    <w:rsid w:val="00493D94"/>
    <w:rsid w:val="00494CF2"/>
    <w:rsid w:val="00495DD2"/>
    <w:rsid w:val="00496238"/>
    <w:rsid w:val="00497DBF"/>
    <w:rsid w:val="004A031B"/>
    <w:rsid w:val="004A0930"/>
    <w:rsid w:val="004A09F5"/>
    <w:rsid w:val="004A0CD9"/>
    <w:rsid w:val="004A1284"/>
    <w:rsid w:val="004A162F"/>
    <w:rsid w:val="004A16FD"/>
    <w:rsid w:val="004A1BEA"/>
    <w:rsid w:val="004A2A00"/>
    <w:rsid w:val="004A2C39"/>
    <w:rsid w:val="004A2C96"/>
    <w:rsid w:val="004A36C1"/>
    <w:rsid w:val="004A3853"/>
    <w:rsid w:val="004A38ED"/>
    <w:rsid w:val="004A3AF7"/>
    <w:rsid w:val="004A3B74"/>
    <w:rsid w:val="004A3B80"/>
    <w:rsid w:val="004A44DC"/>
    <w:rsid w:val="004A4D79"/>
    <w:rsid w:val="004A585C"/>
    <w:rsid w:val="004A5E10"/>
    <w:rsid w:val="004A5EEB"/>
    <w:rsid w:val="004A628D"/>
    <w:rsid w:val="004A6B84"/>
    <w:rsid w:val="004A7065"/>
    <w:rsid w:val="004A70A8"/>
    <w:rsid w:val="004A7291"/>
    <w:rsid w:val="004B0384"/>
    <w:rsid w:val="004B091A"/>
    <w:rsid w:val="004B10E5"/>
    <w:rsid w:val="004B1B9E"/>
    <w:rsid w:val="004B1DD4"/>
    <w:rsid w:val="004B1EB7"/>
    <w:rsid w:val="004B261A"/>
    <w:rsid w:val="004B267E"/>
    <w:rsid w:val="004B3A3D"/>
    <w:rsid w:val="004B3E29"/>
    <w:rsid w:val="004B42BE"/>
    <w:rsid w:val="004B47D7"/>
    <w:rsid w:val="004B49E5"/>
    <w:rsid w:val="004B4B4F"/>
    <w:rsid w:val="004B63DC"/>
    <w:rsid w:val="004B780E"/>
    <w:rsid w:val="004B7872"/>
    <w:rsid w:val="004C0F38"/>
    <w:rsid w:val="004C1842"/>
    <w:rsid w:val="004C24AE"/>
    <w:rsid w:val="004C27C6"/>
    <w:rsid w:val="004C3AAA"/>
    <w:rsid w:val="004C4193"/>
    <w:rsid w:val="004C46B9"/>
    <w:rsid w:val="004C5DF6"/>
    <w:rsid w:val="004C61E2"/>
    <w:rsid w:val="004C6455"/>
    <w:rsid w:val="004C6C97"/>
    <w:rsid w:val="004C71FF"/>
    <w:rsid w:val="004C732A"/>
    <w:rsid w:val="004C7336"/>
    <w:rsid w:val="004C7611"/>
    <w:rsid w:val="004C7A7F"/>
    <w:rsid w:val="004D03DF"/>
    <w:rsid w:val="004D03F1"/>
    <w:rsid w:val="004D0423"/>
    <w:rsid w:val="004D058C"/>
    <w:rsid w:val="004D0DFB"/>
    <w:rsid w:val="004D0E0B"/>
    <w:rsid w:val="004D104E"/>
    <w:rsid w:val="004D1461"/>
    <w:rsid w:val="004D150F"/>
    <w:rsid w:val="004D15FA"/>
    <w:rsid w:val="004D164C"/>
    <w:rsid w:val="004D298E"/>
    <w:rsid w:val="004D3054"/>
    <w:rsid w:val="004D31F0"/>
    <w:rsid w:val="004D3675"/>
    <w:rsid w:val="004D47B3"/>
    <w:rsid w:val="004D574B"/>
    <w:rsid w:val="004D6392"/>
    <w:rsid w:val="004D63DD"/>
    <w:rsid w:val="004D67BD"/>
    <w:rsid w:val="004E0476"/>
    <w:rsid w:val="004E0569"/>
    <w:rsid w:val="004E0982"/>
    <w:rsid w:val="004E255E"/>
    <w:rsid w:val="004E2658"/>
    <w:rsid w:val="004E2702"/>
    <w:rsid w:val="004E28A4"/>
    <w:rsid w:val="004E2A37"/>
    <w:rsid w:val="004E2B48"/>
    <w:rsid w:val="004E3824"/>
    <w:rsid w:val="004E39E7"/>
    <w:rsid w:val="004E3ACD"/>
    <w:rsid w:val="004E4017"/>
    <w:rsid w:val="004E4051"/>
    <w:rsid w:val="004E4693"/>
    <w:rsid w:val="004E46F5"/>
    <w:rsid w:val="004E47A5"/>
    <w:rsid w:val="004E4B1C"/>
    <w:rsid w:val="004E4C59"/>
    <w:rsid w:val="004E5062"/>
    <w:rsid w:val="004E5625"/>
    <w:rsid w:val="004E5A20"/>
    <w:rsid w:val="004E7F8F"/>
    <w:rsid w:val="004F0CE1"/>
    <w:rsid w:val="004F2010"/>
    <w:rsid w:val="004F2F33"/>
    <w:rsid w:val="004F3395"/>
    <w:rsid w:val="004F3723"/>
    <w:rsid w:val="004F393A"/>
    <w:rsid w:val="004F40C6"/>
    <w:rsid w:val="004F4114"/>
    <w:rsid w:val="004F43B6"/>
    <w:rsid w:val="004F4AC9"/>
    <w:rsid w:val="004F4E3E"/>
    <w:rsid w:val="004F560F"/>
    <w:rsid w:val="004F5D3C"/>
    <w:rsid w:val="004F66E9"/>
    <w:rsid w:val="004F67FC"/>
    <w:rsid w:val="004F6BE1"/>
    <w:rsid w:val="004F7BDA"/>
    <w:rsid w:val="005008B1"/>
    <w:rsid w:val="00501A8E"/>
    <w:rsid w:val="00501B4D"/>
    <w:rsid w:val="005020AE"/>
    <w:rsid w:val="005028A0"/>
    <w:rsid w:val="00502B12"/>
    <w:rsid w:val="0050317A"/>
    <w:rsid w:val="0050356E"/>
    <w:rsid w:val="00503CDB"/>
    <w:rsid w:val="00503E7F"/>
    <w:rsid w:val="00504122"/>
    <w:rsid w:val="00504605"/>
    <w:rsid w:val="00504F84"/>
    <w:rsid w:val="00504FCA"/>
    <w:rsid w:val="00505139"/>
    <w:rsid w:val="00505AC7"/>
    <w:rsid w:val="005061DE"/>
    <w:rsid w:val="00506279"/>
    <w:rsid w:val="00506379"/>
    <w:rsid w:val="00506442"/>
    <w:rsid w:val="00506557"/>
    <w:rsid w:val="00510677"/>
    <w:rsid w:val="005122BD"/>
    <w:rsid w:val="005127FA"/>
    <w:rsid w:val="0051338F"/>
    <w:rsid w:val="00513719"/>
    <w:rsid w:val="00513896"/>
    <w:rsid w:val="00513BF0"/>
    <w:rsid w:val="00513F81"/>
    <w:rsid w:val="005142E2"/>
    <w:rsid w:val="0051441C"/>
    <w:rsid w:val="00514801"/>
    <w:rsid w:val="0051513C"/>
    <w:rsid w:val="00515338"/>
    <w:rsid w:val="00515610"/>
    <w:rsid w:val="00516256"/>
    <w:rsid w:val="00516358"/>
    <w:rsid w:val="0051663B"/>
    <w:rsid w:val="00516BD9"/>
    <w:rsid w:val="00517F8B"/>
    <w:rsid w:val="0052057A"/>
    <w:rsid w:val="005210D4"/>
    <w:rsid w:val="005219BA"/>
    <w:rsid w:val="00521CCF"/>
    <w:rsid w:val="00522654"/>
    <w:rsid w:val="00522844"/>
    <w:rsid w:val="00522EA6"/>
    <w:rsid w:val="005232BF"/>
    <w:rsid w:val="005234C5"/>
    <w:rsid w:val="00523B80"/>
    <w:rsid w:val="0052431E"/>
    <w:rsid w:val="005246C5"/>
    <w:rsid w:val="00524CC4"/>
    <w:rsid w:val="00524DE7"/>
    <w:rsid w:val="00525203"/>
    <w:rsid w:val="005256BD"/>
    <w:rsid w:val="005264CA"/>
    <w:rsid w:val="0052656F"/>
    <w:rsid w:val="005268B1"/>
    <w:rsid w:val="00526B44"/>
    <w:rsid w:val="00527178"/>
    <w:rsid w:val="005272A1"/>
    <w:rsid w:val="005276E3"/>
    <w:rsid w:val="00527913"/>
    <w:rsid w:val="00527C32"/>
    <w:rsid w:val="00530386"/>
    <w:rsid w:val="0053038A"/>
    <w:rsid w:val="005303BE"/>
    <w:rsid w:val="005317CB"/>
    <w:rsid w:val="00531909"/>
    <w:rsid w:val="00531FA4"/>
    <w:rsid w:val="00532035"/>
    <w:rsid w:val="0053269A"/>
    <w:rsid w:val="00532DA0"/>
    <w:rsid w:val="0053304A"/>
    <w:rsid w:val="00533294"/>
    <w:rsid w:val="00533BBF"/>
    <w:rsid w:val="00533EB5"/>
    <w:rsid w:val="0053467A"/>
    <w:rsid w:val="00534F9B"/>
    <w:rsid w:val="00535C15"/>
    <w:rsid w:val="00535DD1"/>
    <w:rsid w:val="00536BDB"/>
    <w:rsid w:val="00536CC8"/>
    <w:rsid w:val="00536D86"/>
    <w:rsid w:val="005403AC"/>
    <w:rsid w:val="0054080F"/>
    <w:rsid w:val="00540AC5"/>
    <w:rsid w:val="00541EB5"/>
    <w:rsid w:val="00542008"/>
    <w:rsid w:val="0054240A"/>
    <w:rsid w:val="00542581"/>
    <w:rsid w:val="0054268F"/>
    <w:rsid w:val="00542847"/>
    <w:rsid w:val="00542A43"/>
    <w:rsid w:val="00542A6D"/>
    <w:rsid w:val="00542CC3"/>
    <w:rsid w:val="005433F2"/>
    <w:rsid w:val="0054341B"/>
    <w:rsid w:val="00543B6F"/>
    <w:rsid w:val="00543CAB"/>
    <w:rsid w:val="00544460"/>
    <w:rsid w:val="00544E13"/>
    <w:rsid w:val="00544FD7"/>
    <w:rsid w:val="005456BE"/>
    <w:rsid w:val="00545DF9"/>
    <w:rsid w:val="00545FAB"/>
    <w:rsid w:val="005474A7"/>
    <w:rsid w:val="0054774B"/>
    <w:rsid w:val="005478FF"/>
    <w:rsid w:val="00547D5C"/>
    <w:rsid w:val="005502CA"/>
    <w:rsid w:val="00550DE2"/>
    <w:rsid w:val="005514D3"/>
    <w:rsid w:val="005517E8"/>
    <w:rsid w:val="00551FE1"/>
    <w:rsid w:val="005525A8"/>
    <w:rsid w:val="005528DF"/>
    <w:rsid w:val="00552ADC"/>
    <w:rsid w:val="00552B73"/>
    <w:rsid w:val="005543AE"/>
    <w:rsid w:val="00554A7B"/>
    <w:rsid w:val="00555464"/>
    <w:rsid w:val="005555AF"/>
    <w:rsid w:val="0055573B"/>
    <w:rsid w:val="00555891"/>
    <w:rsid w:val="00556195"/>
    <w:rsid w:val="0055706E"/>
    <w:rsid w:val="005571D4"/>
    <w:rsid w:val="00557A25"/>
    <w:rsid w:val="00560631"/>
    <w:rsid w:val="00561987"/>
    <w:rsid w:val="00561E37"/>
    <w:rsid w:val="00563103"/>
    <w:rsid w:val="00563537"/>
    <w:rsid w:val="005640AC"/>
    <w:rsid w:val="00564953"/>
    <w:rsid w:val="00564F1C"/>
    <w:rsid w:val="00565275"/>
    <w:rsid w:val="00565E19"/>
    <w:rsid w:val="00566989"/>
    <w:rsid w:val="005671A5"/>
    <w:rsid w:val="00570428"/>
    <w:rsid w:val="005706E9"/>
    <w:rsid w:val="005711C4"/>
    <w:rsid w:val="00571659"/>
    <w:rsid w:val="005726CD"/>
    <w:rsid w:val="00572B16"/>
    <w:rsid w:val="00572CE3"/>
    <w:rsid w:val="00573378"/>
    <w:rsid w:val="00573A6B"/>
    <w:rsid w:val="00573B3C"/>
    <w:rsid w:val="00574051"/>
    <w:rsid w:val="0057407D"/>
    <w:rsid w:val="00575BE4"/>
    <w:rsid w:val="0057641D"/>
    <w:rsid w:val="00576521"/>
    <w:rsid w:val="00576FB1"/>
    <w:rsid w:val="00577496"/>
    <w:rsid w:val="00577DFA"/>
    <w:rsid w:val="00577E43"/>
    <w:rsid w:val="00577EAC"/>
    <w:rsid w:val="00577F16"/>
    <w:rsid w:val="005802BA"/>
    <w:rsid w:val="005807AF"/>
    <w:rsid w:val="005808F1"/>
    <w:rsid w:val="0058093B"/>
    <w:rsid w:val="00580A94"/>
    <w:rsid w:val="005812A0"/>
    <w:rsid w:val="005813A7"/>
    <w:rsid w:val="005818C0"/>
    <w:rsid w:val="00581985"/>
    <w:rsid w:val="00581ECA"/>
    <w:rsid w:val="0058262F"/>
    <w:rsid w:val="00582757"/>
    <w:rsid w:val="00583189"/>
    <w:rsid w:val="005836E1"/>
    <w:rsid w:val="005838D5"/>
    <w:rsid w:val="00583AA9"/>
    <w:rsid w:val="00583EF4"/>
    <w:rsid w:val="00584158"/>
    <w:rsid w:val="00584F0B"/>
    <w:rsid w:val="005855D4"/>
    <w:rsid w:val="005857AC"/>
    <w:rsid w:val="005863D2"/>
    <w:rsid w:val="00586461"/>
    <w:rsid w:val="00586B80"/>
    <w:rsid w:val="0058711A"/>
    <w:rsid w:val="00587A9B"/>
    <w:rsid w:val="00587C90"/>
    <w:rsid w:val="00587E1B"/>
    <w:rsid w:val="00587FD7"/>
    <w:rsid w:val="005901F5"/>
    <w:rsid w:val="00590599"/>
    <w:rsid w:val="0059086F"/>
    <w:rsid w:val="00590FCD"/>
    <w:rsid w:val="00591B9A"/>
    <w:rsid w:val="0059215F"/>
    <w:rsid w:val="00592E73"/>
    <w:rsid w:val="005934DC"/>
    <w:rsid w:val="00593B80"/>
    <w:rsid w:val="00593C19"/>
    <w:rsid w:val="005940A8"/>
    <w:rsid w:val="00594488"/>
    <w:rsid w:val="00594DB8"/>
    <w:rsid w:val="0059556A"/>
    <w:rsid w:val="0059644A"/>
    <w:rsid w:val="00596E76"/>
    <w:rsid w:val="00596F00"/>
    <w:rsid w:val="00597214"/>
    <w:rsid w:val="0059754C"/>
    <w:rsid w:val="0059755C"/>
    <w:rsid w:val="00597F46"/>
    <w:rsid w:val="005A07A4"/>
    <w:rsid w:val="005A0B76"/>
    <w:rsid w:val="005A0E4B"/>
    <w:rsid w:val="005A100C"/>
    <w:rsid w:val="005A12F3"/>
    <w:rsid w:val="005A1354"/>
    <w:rsid w:val="005A17EC"/>
    <w:rsid w:val="005A193E"/>
    <w:rsid w:val="005A1F53"/>
    <w:rsid w:val="005A2776"/>
    <w:rsid w:val="005A27FF"/>
    <w:rsid w:val="005A3243"/>
    <w:rsid w:val="005A39B6"/>
    <w:rsid w:val="005A3E49"/>
    <w:rsid w:val="005A4687"/>
    <w:rsid w:val="005A5263"/>
    <w:rsid w:val="005A5373"/>
    <w:rsid w:val="005A5B95"/>
    <w:rsid w:val="005A60B6"/>
    <w:rsid w:val="005A62AB"/>
    <w:rsid w:val="005A62EE"/>
    <w:rsid w:val="005A6411"/>
    <w:rsid w:val="005A790B"/>
    <w:rsid w:val="005A79EE"/>
    <w:rsid w:val="005B055A"/>
    <w:rsid w:val="005B0C6F"/>
    <w:rsid w:val="005B124B"/>
    <w:rsid w:val="005B2B52"/>
    <w:rsid w:val="005B325F"/>
    <w:rsid w:val="005B334B"/>
    <w:rsid w:val="005B3DDA"/>
    <w:rsid w:val="005B3FD9"/>
    <w:rsid w:val="005B4573"/>
    <w:rsid w:val="005B4E5D"/>
    <w:rsid w:val="005B4E67"/>
    <w:rsid w:val="005B500E"/>
    <w:rsid w:val="005B66DF"/>
    <w:rsid w:val="005B690B"/>
    <w:rsid w:val="005B6A8A"/>
    <w:rsid w:val="005B6D03"/>
    <w:rsid w:val="005B725D"/>
    <w:rsid w:val="005C0ACF"/>
    <w:rsid w:val="005C0AD7"/>
    <w:rsid w:val="005C1698"/>
    <w:rsid w:val="005C2223"/>
    <w:rsid w:val="005C2834"/>
    <w:rsid w:val="005C2E61"/>
    <w:rsid w:val="005C3318"/>
    <w:rsid w:val="005C3370"/>
    <w:rsid w:val="005C3404"/>
    <w:rsid w:val="005C3F6D"/>
    <w:rsid w:val="005C436C"/>
    <w:rsid w:val="005C45CF"/>
    <w:rsid w:val="005C47E3"/>
    <w:rsid w:val="005C49E4"/>
    <w:rsid w:val="005C4AD7"/>
    <w:rsid w:val="005C5A3B"/>
    <w:rsid w:val="005C5E98"/>
    <w:rsid w:val="005C5ED8"/>
    <w:rsid w:val="005C6582"/>
    <w:rsid w:val="005C6D5C"/>
    <w:rsid w:val="005C71A0"/>
    <w:rsid w:val="005C74BC"/>
    <w:rsid w:val="005C7B39"/>
    <w:rsid w:val="005D005A"/>
    <w:rsid w:val="005D0F5A"/>
    <w:rsid w:val="005D1081"/>
    <w:rsid w:val="005D13CD"/>
    <w:rsid w:val="005D1454"/>
    <w:rsid w:val="005D286D"/>
    <w:rsid w:val="005D2BD2"/>
    <w:rsid w:val="005D309F"/>
    <w:rsid w:val="005D313E"/>
    <w:rsid w:val="005D33CC"/>
    <w:rsid w:val="005D34B3"/>
    <w:rsid w:val="005D3C0E"/>
    <w:rsid w:val="005D481A"/>
    <w:rsid w:val="005D4FD4"/>
    <w:rsid w:val="005D54F3"/>
    <w:rsid w:val="005D5775"/>
    <w:rsid w:val="005D5FF5"/>
    <w:rsid w:val="005D74C1"/>
    <w:rsid w:val="005D7531"/>
    <w:rsid w:val="005D7A10"/>
    <w:rsid w:val="005D7C9F"/>
    <w:rsid w:val="005E03DA"/>
    <w:rsid w:val="005E08FC"/>
    <w:rsid w:val="005E0973"/>
    <w:rsid w:val="005E0C43"/>
    <w:rsid w:val="005E108E"/>
    <w:rsid w:val="005E1DBA"/>
    <w:rsid w:val="005E20B9"/>
    <w:rsid w:val="005E221A"/>
    <w:rsid w:val="005E26A0"/>
    <w:rsid w:val="005E2D2F"/>
    <w:rsid w:val="005E4038"/>
    <w:rsid w:val="005E50A5"/>
    <w:rsid w:val="005E53D6"/>
    <w:rsid w:val="005E5858"/>
    <w:rsid w:val="005E6150"/>
    <w:rsid w:val="005E6226"/>
    <w:rsid w:val="005E65A0"/>
    <w:rsid w:val="005E6719"/>
    <w:rsid w:val="005E67DA"/>
    <w:rsid w:val="005E6AAC"/>
    <w:rsid w:val="005E6DA5"/>
    <w:rsid w:val="005E7350"/>
    <w:rsid w:val="005F00AC"/>
    <w:rsid w:val="005F013C"/>
    <w:rsid w:val="005F0E6A"/>
    <w:rsid w:val="005F187D"/>
    <w:rsid w:val="005F1CFA"/>
    <w:rsid w:val="005F2ECF"/>
    <w:rsid w:val="005F33A9"/>
    <w:rsid w:val="005F341C"/>
    <w:rsid w:val="005F4026"/>
    <w:rsid w:val="005F414B"/>
    <w:rsid w:val="005F461C"/>
    <w:rsid w:val="005F49FD"/>
    <w:rsid w:val="005F4F16"/>
    <w:rsid w:val="005F55AD"/>
    <w:rsid w:val="005F563E"/>
    <w:rsid w:val="005F5D46"/>
    <w:rsid w:val="005F63C7"/>
    <w:rsid w:val="005F6B1C"/>
    <w:rsid w:val="005F76E5"/>
    <w:rsid w:val="00600183"/>
    <w:rsid w:val="00600263"/>
    <w:rsid w:val="006007A2"/>
    <w:rsid w:val="0060100C"/>
    <w:rsid w:val="006015A6"/>
    <w:rsid w:val="00601604"/>
    <w:rsid w:val="00601623"/>
    <w:rsid w:val="00601772"/>
    <w:rsid w:val="00601BC1"/>
    <w:rsid w:val="006022F9"/>
    <w:rsid w:val="00602624"/>
    <w:rsid w:val="00602ADD"/>
    <w:rsid w:val="00603A57"/>
    <w:rsid w:val="00603B4D"/>
    <w:rsid w:val="00604A01"/>
    <w:rsid w:val="00605258"/>
    <w:rsid w:val="00605792"/>
    <w:rsid w:val="006057B0"/>
    <w:rsid w:val="00605BF4"/>
    <w:rsid w:val="00606565"/>
    <w:rsid w:val="00606BCB"/>
    <w:rsid w:val="00607092"/>
    <w:rsid w:val="006073F3"/>
    <w:rsid w:val="0060798E"/>
    <w:rsid w:val="0061074F"/>
    <w:rsid w:val="006109A1"/>
    <w:rsid w:val="006115D6"/>
    <w:rsid w:val="00611C64"/>
    <w:rsid w:val="0061241C"/>
    <w:rsid w:val="00612421"/>
    <w:rsid w:val="006127C4"/>
    <w:rsid w:val="00613550"/>
    <w:rsid w:val="00613AD1"/>
    <w:rsid w:val="00613D0E"/>
    <w:rsid w:val="0061447D"/>
    <w:rsid w:val="00614CD0"/>
    <w:rsid w:val="00615C1A"/>
    <w:rsid w:val="00615C20"/>
    <w:rsid w:val="00615E34"/>
    <w:rsid w:val="0061616E"/>
    <w:rsid w:val="00616802"/>
    <w:rsid w:val="00616AF1"/>
    <w:rsid w:val="00616D8B"/>
    <w:rsid w:val="00616DA4"/>
    <w:rsid w:val="006179E6"/>
    <w:rsid w:val="00617B08"/>
    <w:rsid w:val="00617B7B"/>
    <w:rsid w:val="00617C9D"/>
    <w:rsid w:val="00617EE9"/>
    <w:rsid w:val="00620024"/>
    <w:rsid w:val="006204DA"/>
    <w:rsid w:val="0062053D"/>
    <w:rsid w:val="00620606"/>
    <w:rsid w:val="00620870"/>
    <w:rsid w:val="00620FBC"/>
    <w:rsid w:val="006213C6"/>
    <w:rsid w:val="006216F2"/>
    <w:rsid w:val="006218DF"/>
    <w:rsid w:val="006218F2"/>
    <w:rsid w:val="00621F3E"/>
    <w:rsid w:val="00622413"/>
    <w:rsid w:val="006226F7"/>
    <w:rsid w:val="00622777"/>
    <w:rsid w:val="0062283D"/>
    <w:rsid w:val="006230E4"/>
    <w:rsid w:val="006236D7"/>
    <w:rsid w:val="00623A36"/>
    <w:rsid w:val="006249FE"/>
    <w:rsid w:val="00624B47"/>
    <w:rsid w:val="00624E06"/>
    <w:rsid w:val="00624FE4"/>
    <w:rsid w:val="0062528E"/>
    <w:rsid w:val="00625342"/>
    <w:rsid w:val="00625713"/>
    <w:rsid w:val="006257BF"/>
    <w:rsid w:val="006258B7"/>
    <w:rsid w:val="00625B15"/>
    <w:rsid w:val="00625B40"/>
    <w:rsid w:val="006263C9"/>
    <w:rsid w:val="00626538"/>
    <w:rsid w:val="0062658C"/>
    <w:rsid w:val="00626E09"/>
    <w:rsid w:val="0062743B"/>
    <w:rsid w:val="0062762C"/>
    <w:rsid w:val="00627ABC"/>
    <w:rsid w:val="00627C9E"/>
    <w:rsid w:val="006305E4"/>
    <w:rsid w:val="00630ABE"/>
    <w:rsid w:val="00630EB7"/>
    <w:rsid w:val="0063101D"/>
    <w:rsid w:val="00631216"/>
    <w:rsid w:val="0063150C"/>
    <w:rsid w:val="00631E72"/>
    <w:rsid w:val="00632687"/>
    <w:rsid w:val="00632B6E"/>
    <w:rsid w:val="00632C01"/>
    <w:rsid w:val="00632D8C"/>
    <w:rsid w:val="00632E08"/>
    <w:rsid w:val="00632EF2"/>
    <w:rsid w:val="006344CB"/>
    <w:rsid w:val="006349F6"/>
    <w:rsid w:val="006356CC"/>
    <w:rsid w:val="0063576A"/>
    <w:rsid w:val="00635E9A"/>
    <w:rsid w:val="00636000"/>
    <w:rsid w:val="0063618F"/>
    <w:rsid w:val="0063698B"/>
    <w:rsid w:val="00636D89"/>
    <w:rsid w:val="00636E88"/>
    <w:rsid w:val="00640623"/>
    <w:rsid w:val="00640A9D"/>
    <w:rsid w:val="00640B3E"/>
    <w:rsid w:val="00641427"/>
    <w:rsid w:val="00641731"/>
    <w:rsid w:val="00641D18"/>
    <w:rsid w:val="00641E9A"/>
    <w:rsid w:val="00641F4B"/>
    <w:rsid w:val="006423A8"/>
    <w:rsid w:val="00642C13"/>
    <w:rsid w:val="00643156"/>
    <w:rsid w:val="00643471"/>
    <w:rsid w:val="00643ADF"/>
    <w:rsid w:val="00643E63"/>
    <w:rsid w:val="00643EB2"/>
    <w:rsid w:val="00643F8C"/>
    <w:rsid w:val="00644006"/>
    <w:rsid w:val="00644AF4"/>
    <w:rsid w:val="00644B55"/>
    <w:rsid w:val="00644EBF"/>
    <w:rsid w:val="00645A9E"/>
    <w:rsid w:val="00645FC1"/>
    <w:rsid w:val="00646338"/>
    <w:rsid w:val="00646397"/>
    <w:rsid w:val="0064654C"/>
    <w:rsid w:val="00646ED2"/>
    <w:rsid w:val="00646F2E"/>
    <w:rsid w:val="00647129"/>
    <w:rsid w:val="00647425"/>
    <w:rsid w:val="00647953"/>
    <w:rsid w:val="00650418"/>
    <w:rsid w:val="0065105A"/>
    <w:rsid w:val="00651327"/>
    <w:rsid w:val="00651745"/>
    <w:rsid w:val="0065185E"/>
    <w:rsid w:val="0065214E"/>
    <w:rsid w:val="0065295F"/>
    <w:rsid w:val="00652ABA"/>
    <w:rsid w:val="0065331C"/>
    <w:rsid w:val="00653635"/>
    <w:rsid w:val="00654201"/>
    <w:rsid w:val="00654E75"/>
    <w:rsid w:val="006559DB"/>
    <w:rsid w:val="00655DBA"/>
    <w:rsid w:val="006560B7"/>
    <w:rsid w:val="006560F3"/>
    <w:rsid w:val="0065635A"/>
    <w:rsid w:val="006564E9"/>
    <w:rsid w:val="006566C4"/>
    <w:rsid w:val="00656BDE"/>
    <w:rsid w:val="0065798A"/>
    <w:rsid w:val="00660924"/>
    <w:rsid w:val="00660A42"/>
    <w:rsid w:val="00660C95"/>
    <w:rsid w:val="00660D97"/>
    <w:rsid w:val="00660E86"/>
    <w:rsid w:val="00661549"/>
    <w:rsid w:val="00661B6F"/>
    <w:rsid w:val="00661D04"/>
    <w:rsid w:val="00661FFE"/>
    <w:rsid w:val="00662061"/>
    <w:rsid w:val="006626DF"/>
    <w:rsid w:val="00662B0E"/>
    <w:rsid w:val="006632B3"/>
    <w:rsid w:val="006634D6"/>
    <w:rsid w:val="00663ECE"/>
    <w:rsid w:val="006645AA"/>
    <w:rsid w:val="00664727"/>
    <w:rsid w:val="006650EE"/>
    <w:rsid w:val="0066558A"/>
    <w:rsid w:val="00665673"/>
    <w:rsid w:val="006656C3"/>
    <w:rsid w:val="00665883"/>
    <w:rsid w:val="0066656B"/>
    <w:rsid w:val="0066660F"/>
    <w:rsid w:val="006667D1"/>
    <w:rsid w:val="00666E98"/>
    <w:rsid w:val="00670F5E"/>
    <w:rsid w:val="006718AE"/>
    <w:rsid w:val="00671AE4"/>
    <w:rsid w:val="00671D88"/>
    <w:rsid w:val="006722CB"/>
    <w:rsid w:val="00672797"/>
    <w:rsid w:val="00672868"/>
    <w:rsid w:val="00672FBA"/>
    <w:rsid w:val="006732D6"/>
    <w:rsid w:val="00673367"/>
    <w:rsid w:val="0067344D"/>
    <w:rsid w:val="00673484"/>
    <w:rsid w:val="006736C8"/>
    <w:rsid w:val="00673871"/>
    <w:rsid w:val="00673AB6"/>
    <w:rsid w:val="00673DE6"/>
    <w:rsid w:val="00673E02"/>
    <w:rsid w:val="0067417D"/>
    <w:rsid w:val="00674470"/>
    <w:rsid w:val="00674E61"/>
    <w:rsid w:val="006750C5"/>
    <w:rsid w:val="00675B51"/>
    <w:rsid w:val="00675F25"/>
    <w:rsid w:val="0067603B"/>
    <w:rsid w:val="0067618C"/>
    <w:rsid w:val="00676AC2"/>
    <w:rsid w:val="00676CC6"/>
    <w:rsid w:val="006771AB"/>
    <w:rsid w:val="00680171"/>
    <w:rsid w:val="006802D2"/>
    <w:rsid w:val="006808DC"/>
    <w:rsid w:val="006808F0"/>
    <w:rsid w:val="00680BF0"/>
    <w:rsid w:val="00680D72"/>
    <w:rsid w:val="0068110B"/>
    <w:rsid w:val="0068173F"/>
    <w:rsid w:val="00682146"/>
    <w:rsid w:val="0068217B"/>
    <w:rsid w:val="0068269A"/>
    <w:rsid w:val="00682D15"/>
    <w:rsid w:val="0068366D"/>
    <w:rsid w:val="00683D9E"/>
    <w:rsid w:val="0068435C"/>
    <w:rsid w:val="00684495"/>
    <w:rsid w:val="00684C5D"/>
    <w:rsid w:val="0068505D"/>
    <w:rsid w:val="006851FF"/>
    <w:rsid w:val="006853D6"/>
    <w:rsid w:val="006857FB"/>
    <w:rsid w:val="00685A20"/>
    <w:rsid w:val="00686061"/>
    <w:rsid w:val="0068657B"/>
    <w:rsid w:val="00686D42"/>
    <w:rsid w:val="00686F79"/>
    <w:rsid w:val="00687A27"/>
    <w:rsid w:val="0069018B"/>
    <w:rsid w:val="00690214"/>
    <w:rsid w:val="00690349"/>
    <w:rsid w:val="00690384"/>
    <w:rsid w:val="00691093"/>
    <w:rsid w:val="00691614"/>
    <w:rsid w:val="006923EC"/>
    <w:rsid w:val="00692EC3"/>
    <w:rsid w:val="0069304A"/>
    <w:rsid w:val="0069321C"/>
    <w:rsid w:val="00693323"/>
    <w:rsid w:val="0069425D"/>
    <w:rsid w:val="00694DFB"/>
    <w:rsid w:val="006954E5"/>
    <w:rsid w:val="00695821"/>
    <w:rsid w:val="006958E1"/>
    <w:rsid w:val="00696366"/>
    <w:rsid w:val="00696C0D"/>
    <w:rsid w:val="00696F2B"/>
    <w:rsid w:val="00697134"/>
    <w:rsid w:val="00697652"/>
    <w:rsid w:val="006979CC"/>
    <w:rsid w:val="006A03EB"/>
    <w:rsid w:val="006A0888"/>
    <w:rsid w:val="006A095C"/>
    <w:rsid w:val="006A0993"/>
    <w:rsid w:val="006A0F2D"/>
    <w:rsid w:val="006A1D4A"/>
    <w:rsid w:val="006A2493"/>
    <w:rsid w:val="006A32E3"/>
    <w:rsid w:val="006A3318"/>
    <w:rsid w:val="006A35B0"/>
    <w:rsid w:val="006A3ACA"/>
    <w:rsid w:val="006A3C6F"/>
    <w:rsid w:val="006A414D"/>
    <w:rsid w:val="006A453A"/>
    <w:rsid w:val="006A4931"/>
    <w:rsid w:val="006A4FE0"/>
    <w:rsid w:val="006A5473"/>
    <w:rsid w:val="006A5959"/>
    <w:rsid w:val="006A59CB"/>
    <w:rsid w:val="006A5B1D"/>
    <w:rsid w:val="006A5BFD"/>
    <w:rsid w:val="006A5CC4"/>
    <w:rsid w:val="006A5ED0"/>
    <w:rsid w:val="006A6E3A"/>
    <w:rsid w:val="006A779C"/>
    <w:rsid w:val="006A7B5E"/>
    <w:rsid w:val="006A7F5F"/>
    <w:rsid w:val="006B0464"/>
    <w:rsid w:val="006B06BF"/>
    <w:rsid w:val="006B0940"/>
    <w:rsid w:val="006B09D4"/>
    <w:rsid w:val="006B0E29"/>
    <w:rsid w:val="006B13B1"/>
    <w:rsid w:val="006B149D"/>
    <w:rsid w:val="006B182C"/>
    <w:rsid w:val="006B1DA8"/>
    <w:rsid w:val="006B25B5"/>
    <w:rsid w:val="006B2724"/>
    <w:rsid w:val="006B2DA4"/>
    <w:rsid w:val="006B2F21"/>
    <w:rsid w:val="006B2FD7"/>
    <w:rsid w:val="006B3C01"/>
    <w:rsid w:val="006B3F0A"/>
    <w:rsid w:val="006B40BE"/>
    <w:rsid w:val="006B468C"/>
    <w:rsid w:val="006B51D9"/>
    <w:rsid w:val="006B54E6"/>
    <w:rsid w:val="006B5A1D"/>
    <w:rsid w:val="006B5B5B"/>
    <w:rsid w:val="006B5D65"/>
    <w:rsid w:val="006B66BE"/>
    <w:rsid w:val="006B68AE"/>
    <w:rsid w:val="006B6B14"/>
    <w:rsid w:val="006B6CEF"/>
    <w:rsid w:val="006C0077"/>
    <w:rsid w:val="006C07C0"/>
    <w:rsid w:val="006C0ABC"/>
    <w:rsid w:val="006C0C3B"/>
    <w:rsid w:val="006C0D10"/>
    <w:rsid w:val="006C0FFB"/>
    <w:rsid w:val="006C11BA"/>
    <w:rsid w:val="006C1344"/>
    <w:rsid w:val="006C1F2D"/>
    <w:rsid w:val="006C296F"/>
    <w:rsid w:val="006C335A"/>
    <w:rsid w:val="006C3411"/>
    <w:rsid w:val="006C40FE"/>
    <w:rsid w:val="006C50A4"/>
    <w:rsid w:val="006C5173"/>
    <w:rsid w:val="006C56F8"/>
    <w:rsid w:val="006C64E6"/>
    <w:rsid w:val="006C6CFD"/>
    <w:rsid w:val="006C6DC7"/>
    <w:rsid w:val="006C70F9"/>
    <w:rsid w:val="006D00D0"/>
    <w:rsid w:val="006D0295"/>
    <w:rsid w:val="006D04E1"/>
    <w:rsid w:val="006D104C"/>
    <w:rsid w:val="006D12B8"/>
    <w:rsid w:val="006D1AEC"/>
    <w:rsid w:val="006D1C42"/>
    <w:rsid w:val="006D1F65"/>
    <w:rsid w:val="006D3510"/>
    <w:rsid w:val="006D3E54"/>
    <w:rsid w:val="006D4932"/>
    <w:rsid w:val="006D5425"/>
    <w:rsid w:val="006D593D"/>
    <w:rsid w:val="006D6299"/>
    <w:rsid w:val="006D6849"/>
    <w:rsid w:val="006D6A86"/>
    <w:rsid w:val="006D6BB6"/>
    <w:rsid w:val="006D717B"/>
    <w:rsid w:val="006D72D0"/>
    <w:rsid w:val="006D754C"/>
    <w:rsid w:val="006D78CB"/>
    <w:rsid w:val="006D7977"/>
    <w:rsid w:val="006D7C9B"/>
    <w:rsid w:val="006D7CB5"/>
    <w:rsid w:val="006E0147"/>
    <w:rsid w:val="006E04BD"/>
    <w:rsid w:val="006E0BD6"/>
    <w:rsid w:val="006E141B"/>
    <w:rsid w:val="006E1D9A"/>
    <w:rsid w:val="006E283D"/>
    <w:rsid w:val="006E3415"/>
    <w:rsid w:val="006E34D6"/>
    <w:rsid w:val="006E36C1"/>
    <w:rsid w:val="006E3C9B"/>
    <w:rsid w:val="006E3D84"/>
    <w:rsid w:val="006E4C26"/>
    <w:rsid w:val="006E5CFB"/>
    <w:rsid w:val="006E5F93"/>
    <w:rsid w:val="006E63A0"/>
    <w:rsid w:val="006E73AE"/>
    <w:rsid w:val="006E77FE"/>
    <w:rsid w:val="006E7E77"/>
    <w:rsid w:val="006F01EB"/>
    <w:rsid w:val="006F02CB"/>
    <w:rsid w:val="006F05C0"/>
    <w:rsid w:val="006F0C88"/>
    <w:rsid w:val="006F0FAB"/>
    <w:rsid w:val="006F196E"/>
    <w:rsid w:val="006F1973"/>
    <w:rsid w:val="006F1CA6"/>
    <w:rsid w:val="006F2BFE"/>
    <w:rsid w:val="006F2C8C"/>
    <w:rsid w:val="006F3071"/>
    <w:rsid w:val="006F39C0"/>
    <w:rsid w:val="006F39F6"/>
    <w:rsid w:val="006F3FAC"/>
    <w:rsid w:val="006F542A"/>
    <w:rsid w:val="006F56E1"/>
    <w:rsid w:val="006F586C"/>
    <w:rsid w:val="006F5A8E"/>
    <w:rsid w:val="006F5D28"/>
    <w:rsid w:val="006F5DB0"/>
    <w:rsid w:val="006F60F5"/>
    <w:rsid w:val="006F67A1"/>
    <w:rsid w:val="006F6DFE"/>
    <w:rsid w:val="006F7388"/>
    <w:rsid w:val="006F7399"/>
    <w:rsid w:val="006F7C21"/>
    <w:rsid w:val="006F7E82"/>
    <w:rsid w:val="00701164"/>
    <w:rsid w:val="00701250"/>
    <w:rsid w:val="00701763"/>
    <w:rsid w:val="0070190A"/>
    <w:rsid w:val="00701A3F"/>
    <w:rsid w:val="00701A59"/>
    <w:rsid w:val="007020BD"/>
    <w:rsid w:val="00702751"/>
    <w:rsid w:val="007036A0"/>
    <w:rsid w:val="00703F85"/>
    <w:rsid w:val="00703FFF"/>
    <w:rsid w:val="00704C71"/>
    <w:rsid w:val="0070538C"/>
    <w:rsid w:val="00706051"/>
    <w:rsid w:val="007063FD"/>
    <w:rsid w:val="00706B04"/>
    <w:rsid w:val="00706F7E"/>
    <w:rsid w:val="00707124"/>
    <w:rsid w:val="00707592"/>
    <w:rsid w:val="0070773C"/>
    <w:rsid w:val="00707D43"/>
    <w:rsid w:val="00707F8B"/>
    <w:rsid w:val="00711255"/>
    <w:rsid w:val="00711698"/>
    <w:rsid w:val="00711D01"/>
    <w:rsid w:val="00712287"/>
    <w:rsid w:val="007123EE"/>
    <w:rsid w:val="00712552"/>
    <w:rsid w:val="00712AA5"/>
    <w:rsid w:val="00712D5E"/>
    <w:rsid w:val="00713216"/>
    <w:rsid w:val="00713A0A"/>
    <w:rsid w:val="00713A4B"/>
    <w:rsid w:val="00713E52"/>
    <w:rsid w:val="00714400"/>
    <w:rsid w:val="007144AA"/>
    <w:rsid w:val="007147D0"/>
    <w:rsid w:val="00714C33"/>
    <w:rsid w:val="007161B3"/>
    <w:rsid w:val="00716C30"/>
    <w:rsid w:val="00716F66"/>
    <w:rsid w:val="00720341"/>
    <w:rsid w:val="00721636"/>
    <w:rsid w:val="00721E06"/>
    <w:rsid w:val="00722D9A"/>
    <w:rsid w:val="00722DF1"/>
    <w:rsid w:val="00723427"/>
    <w:rsid w:val="007239F2"/>
    <w:rsid w:val="00723BB7"/>
    <w:rsid w:val="00724876"/>
    <w:rsid w:val="00725207"/>
    <w:rsid w:val="00725BFE"/>
    <w:rsid w:val="007262F3"/>
    <w:rsid w:val="00726797"/>
    <w:rsid w:val="007267F3"/>
    <w:rsid w:val="0072692C"/>
    <w:rsid w:val="00727593"/>
    <w:rsid w:val="00727F8D"/>
    <w:rsid w:val="00727FD0"/>
    <w:rsid w:val="00730603"/>
    <w:rsid w:val="00731B8E"/>
    <w:rsid w:val="00731CB2"/>
    <w:rsid w:val="00732C67"/>
    <w:rsid w:val="00732E75"/>
    <w:rsid w:val="00733AE3"/>
    <w:rsid w:val="00733B26"/>
    <w:rsid w:val="00733CEF"/>
    <w:rsid w:val="00733FAE"/>
    <w:rsid w:val="00734C7D"/>
    <w:rsid w:val="0073603D"/>
    <w:rsid w:val="0073610B"/>
    <w:rsid w:val="007363BC"/>
    <w:rsid w:val="00736810"/>
    <w:rsid w:val="00736F45"/>
    <w:rsid w:val="00737F04"/>
    <w:rsid w:val="00737FEE"/>
    <w:rsid w:val="00740501"/>
    <w:rsid w:val="00740B22"/>
    <w:rsid w:val="007410AC"/>
    <w:rsid w:val="00741961"/>
    <w:rsid w:val="00741A26"/>
    <w:rsid w:val="00741CBD"/>
    <w:rsid w:val="007421C7"/>
    <w:rsid w:val="00742A36"/>
    <w:rsid w:val="00742CA0"/>
    <w:rsid w:val="00742CAE"/>
    <w:rsid w:val="00743509"/>
    <w:rsid w:val="00743946"/>
    <w:rsid w:val="00743C3F"/>
    <w:rsid w:val="00743D22"/>
    <w:rsid w:val="00744393"/>
    <w:rsid w:val="00744501"/>
    <w:rsid w:val="007446A8"/>
    <w:rsid w:val="007447FC"/>
    <w:rsid w:val="0074506B"/>
    <w:rsid w:val="00745A63"/>
    <w:rsid w:val="00745C18"/>
    <w:rsid w:val="0074634E"/>
    <w:rsid w:val="007466DE"/>
    <w:rsid w:val="007468C3"/>
    <w:rsid w:val="00746C00"/>
    <w:rsid w:val="00746CD0"/>
    <w:rsid w:val="00747E69"/>
    <w:rsid w:val="00750583"/>
    <w:rsid w:val="00750A02"/>
    <w:rsid w:val="0075107D"/>
    <w:rsid w:val="00751287"/>
    <w:rsid w:val="00751990"/>
    <w:rsid w:val="0075232D"/>
    <w:rsid w:val="007523C0"/>
    <w:rsid w:val="00752E1B"/>
    <w:rsid w:val="0075317C"/>
    <w:rsid w:val="00753654"/>
    <w:rsid w:val="007537A6"/>
    <w:rsid w:val="00753A30"/>
    <w:rsid w:val="007548D9"/>
    <w:rsid w:val="00754D51"/>
    <w:rsid w:val="00754F5A"/>
    <w:rsid w:val="007550DB"/>
    <w:rsid w:val="007562C8"/>
    <w:rsid w:val="00756470"/>
    <w:rsid w:val="007603A7"/>
    <w:rsid w:val="00760458"/>
    <w:rsid w:val="00760792"/>
    <w:rsid w:val="0076117E"/>
    <w:rsid w:val="007612B4"/>
    <w:rsid w:val="00761DD3"/>
    <w:rsid w:val="00763034"/>
    <w:rsid w:val="007630EE"/>
    <w:rsid w:val="00763446"/>
    <w:rsid w:val="007636AA"/>
    <w:rsid w:val="00763882"/>
    <w:rsid w:val="0076409C"/>
    <w:rsid w:val="0076473C"/>
    <w:rsid w:val="00765725"/>
    <w:rsid w:val="007665FE"/>
    <w:rsid w:val="0076696B"/>
    <w:rsid w:val="007672CF"/>
    <w:rsid w:val="0076766A"/>
    <w:rsid w:val="00767E19"/>
    <w:rsid w:val="00770374"/>
    <w:rsid w:val="00770A68"/>
    <w:rsid w:val="00770A8F"/>
    <w:rsid w:val="00770B3D"/>
    <w:rsid w:val="00770C20"/>
    <w:rsid w:val="00771C48"/>
    <w:rsid w:val="00771D56"/>
    <w:rsid w:val="00772725"/>
    <w:rsid w:val="007728E3"/>
    <w:rsid w:val="00772A47"/>
    <w:rsid w:val="00772D90"/>
    <w:rsid w:val="00773253"/>
    <w:rsid w:val="00773992"/>
    <w:rsid w:val="00774413"/>
    <w:rsid w:val="0077469F"/>
    <w:rsid w:val="0077498F"/>
    <w:rsid w:val="00774C46"/>
    <w:rsid w:val="00774F33"/>
    <w:rsid w:val="0077505C"/>
    <w:rsid w:val="0077590F"/>
    <w:rsid w:val="00775D5F"/>
    <w:rsid w:val="00775F87"/>
    <w:rsid w:val="007763EB"/>
    <w:rsid w:val="0077731E"/>
    <w:rsid w:val="007773AB"/>
    <w:rsid w:val="00777AB1"/>
    <w:rsid w:val="00777AEA"/>
    <w:rsid w:val="00777C89"/>
    <w:rsid w:val="00777DAC"/>
    <w:rsid w:val="00780B55"/>
    <w:rsid w:val="00781393"/>
    <w:rsid w:val="00781689"/>
    <w:rsid w:val="007818CC"/>
    <w:rsid w:val="00781B09"/>
    <w:rsid w:val="00781D13"/>
    <w:rsid w:val="00781EE2"/>
    <w:rsid w:val="00781F26"/>
    <w:rsid w:val="00782512"/>
    <w:rsid w:val="00782A4E"/>
    <w:rsid w:val="00782E38"/>
    <w:rsid w:val="0078390E"/>
    <w:rsid w:val="007843E2"/>
    <w:rsid w:val="00784410"/>
    <w:rsid w:val="00785A37"/>
    <w:rsid w:val="0078604F"/>
    <w:rsid w:val="00786321"/>
    <w:rsid w:val="00786A7E"/>
    <w:rsid w:val="00786D35"/>
    <w:rsid w:val="007876F1"/>
    <w:rsid w:val="00787D9C"/>
    <w:rsid w:val="00787F68"/>
    <w:rsid w:val="0079000D"/>
    <w:rsid w:val="00790C66"/>
    <w:rsid w:val="0079145A"/>
    <w:rsid w:val="0079178E"/>
    <w:rsid w:val="007923D7"/>
    <w:rsid w:val="0079261E"/>
    <w:rsid w:val="007927F7"/>
    <w:rsid w:val="007928C3"/>
    <w:rsid w:val="00793D99"/>
    <w:rsid w:val="00793F7B"/>
    <w:rsid w:val="00794B5E"/>
    <w:rsid w:val="00794DDC"/>
    <w:rsid w:val="00795892"/>
    <w:rsid w:val="007958A9"/>
    <w:rsid w:val="007958AD"/>
    <w:rsid w:val="00796240"/>
    <w:rsid w:val="0079671B"/>
    <w:rsid w:val="00797036"/>
    <w:rsid w:val="00797206"/>
    <w:rsid w:val="00797759"/>
    <w:rsid w:val="007A04AB"/>
    <w:rsid w:val="007A0A7C"/>
    <w:rsid w:val="007A111A"/>
    <w:rsid w:val="007A12F9"/>
    <w:rsid w:val="007A14EA"/>
    <w:rsid w:val="007A1848"/>
    <w:rsid w:val="007A18E1"/>
    <w:rsid w:val="007A19A6"/>
    <w:rsid w:val="007A1D6E"/>
    <w:rsid w:val="007A1F16"/>
    <w:rsid w:val="007A2A12"/>
    <w:rsid w:val="007A2F0D"/>
    <w:rsid w:val="007A32FC"/>
    <w:rsid w:val="007A338D"/>
    <w:rsid w:val="007A3AE3"/>
    <w:rsid w:val="007A4090"/>
    <w:rsid w:val="007A4196"/>
    <w:rsid w:val="007A4A55"/>
    <w:rsid w:val="007A4BBA"/>
    <w:rsid w:val="007A5498"/>
    <w:rsid w:val="007A59F9"/>
    <w:rsid w:val="007A5E84"/>
    <w:rsid w:val="007A626A"/>
    <w:rsid w:val="007A627F"/>
    <w:rsid w:val="007A62DD"/>
    <w:rsid w:val="007A6B69"/>
    <w:rsid w:val="007A6CFA"/>
    <w:rsid w:val="007A7287"/>
    <w:rsid w:val="007A7A1A"/>
    <w:rsid w:val="007A7C90"/>
    <w:rsid w:val="007A7F2E"/>
    <w:rsid w:val="007A7F5B"/>
    <w:rsid w:val="007B020C"/>
    <w:rsid w:val="007B04B0"/>
    <w:rsid w:val="007B0BE4"/>
    <w:rsid w:val="007B1ADE"/>
    <w:rsid w:val="007B20DD"/>
    <w:rsid w:val="007B22E0"/>
    <w:rsid w:val="007B236D"/>
    <w:rsid w:val="007B2C57"/>
    <w:rsid w:val="007B2CB4"/>
    <w:rsid w:val="007B312A"/>
    <w:rsid w:val="007B3B58"/>
    <w:rsid w:val="007B3E85"/>
    <w:rsid w:val="007B43AE"/>
    <w:rsid w:val="007B4850"/>
    <w:rsid w:val="007B4894"/>
    <w:rsid w:val="007B4C46"/>
    <w:rsid w:val="007B5B02"/>
    <w:rsid w:val="007B60B5"/>
    <w:rsid w:val="007B639E"/>
    <w:rsid w:val="007B69FF"/>
    <w:rsid w:val="007B6C21"/>
    <w:rsid w:val="007B6D6E"/>
    <w:rsid w:val="007B7594"/>
    <w:rsid w:val="007B75B1"/>
    <w:rsid w:val="007B7625"/>
    <w:rsid w:val="007B7820"/>
    <w:rsid w:val="007C0074"/>
    <w:rsid w:val="007C02F9"/>
    <w:rsid w:val="007C0833"/>
    <w:rsid w:val="007C1418"/>
    <w:rsid w:val="007C1AF5"/>
    <w:rsid w:val="007C1BF1"/>
    <w:rsid w:val="007C1F74"/>
    <w:rsid w:val="007C2108"/>
    <w:rsid w:val="007C31C1"/>
    <w:rsid w:val="007C3402"/>
    <w:rsid w:val="007C3C9A"/>
    <w:rsid w:val="007C4518"/>
    <w:rsid w:val="007C466B"/>
    <w:rsid w:val="007C4DDD"/>
    <w:rsid w:val="007C4E79"/>
    <w:rsid w:val="007C50F1"/>
    <w:rsid w:val="007C5ADA"/>
    <w:rsid w:val="007C7379"/>
    <w:rsid w:val="007C7521"/>
    <w:rsid w:val="007C7B65"/>
    <w:rsid w:val="007D0B30"/>
    <w:rsid w:val="007D1154"/>
    <w:rsid w:val="007D149D"/>
    <w:rsid w:val="007D1BC6"/>
    <w:rsid w:val="007D25C0"/>
    <w:rsid w:val="007D29AC"/>
    <w:rsid w:val="007D2A64"/>
    <w:rsid w:val="007D2B10"/>
    <w:rsid w:val="007D2F78"/>
    <w:rsid w:val="007D32D7"/>
    <w:rsid w:val="007D3881"/>
    <w:rsid w:val="007D3B46"/>
    <w:rsid w:val="007D3BD9"/>
    <w:rsid w:val="007D3C4B"/>
    <w:rsid w:val="007D3DA3"/>
    <w:rsid w:val="007D4350"/>
    <w:rsid w:val="007D4632"/>
    <w:rsid w:val="007D4828"/>
    <w:rsid w:val="007D4B31"/>
    <w:rsid w:val="007D4BC1"/>
    <w:rsid w:val="007D5EF9"/>
    <w:rsid w:val="007D6BD0"/>
    <w:rsid w:val="007D6F22"/>
    <w:rsid w:val="007D6F5D"/>
    <w:rsid w:val="007D70C4"/>
    <w:rsid w:val="007D7AD2"/>
    <w:rsid w:val="007E0F60"/>
    <w:rsid w:val="007E1287"/>
    <w:rsid w:val="007E1431"/>
    <w:rsid w:val="007E1DEE"/>
    <w:rsid w:val="007E1E15"/>
    <w:rsid w:val="007E22E2"/>
    <w:rsid w:val="007E2C0A"/>
    <w:rsid w:val="007E308A"/>
    <w:rsid w:val="007E3E4D"/>
    <w:rsid w:val="007E43D9"/>
    <w:rsid w:val="007E46EA"/>
    <w:rsid w:val="007E5168"/>
    <w:rsid w:val="007E5BDC"/>
    <w:rsid w:val="007E657A"/>
    <w:rsid w:val="007E6A8A"/>
    <w:rsid w:val="007E7603"/>
    <w:rsid w:val="007F0105"/>
    <w:rsid w:val="007F105A"/>
    <w:rsid w:val="007F107C"/>
    <w:rsid w:val="007F12DB"/>
    <w:rsid w:val="007F1AF1"/>
    <w:rsid w:val="007F1F99"/>
    <w:rsid w:val="007F2277"/>
    <w:rsid w:val="007F2B03"/>
    <w:rsid w:val="007F3C98"/>
    <w:rsid w:val="007F45E3"/>
    <w:rsid w:val="007F45FB"/>
    <w:rsid w:val="007F4A95"/>
    <w:rsid w:val="007F4CCD"/>
    <w:rsid w:val="007F4DD8"/>
    <w:rsid w:val="007F51BD"/>
    <w:rsid w:val="007F5348"/>
    <w:rsid w:val="007F55DA"/>
    <w:rsid w:val="007F57EE"/>
    <w:rsid w:val="007F5941"/>
    <w:rsid w:val="007F5AA9"/>
    <w:rsid w:val="007F5ADA"/>
    <w:rsid w:val="007F5E61"/>
    <w:rsid w:val="007F7010"/>
    <w:rsid w:val="007F7049"/>
    <w:rsid w:val="007F7944"/>
    <w:rsid w:val="007F798E"/>
    <w:rsid w:val="007F79D2"/>
    <w:rsid w:val="007F7DC8"/>
    <w:rsid w:val="00800488"/>
    <w:rsid w:val="0080049D"/>
    <w:rsid w:val="0080115A"/>
    <w:rsid w:val="00801879"/>
    <w:rsid w:val="00801ABF"/>
    <w:rsid w:val="00801D63"/>
    <w:rsid w:val="00801E96"/>
    <w:rsid w:val="0080218F"/>
    <w:rsid w:val="0080262C"/>
    <w:rsid w:val="00802BD6"/>
    <w:rsid w:val="00803729"/>
    <w:rsid w:val="0080395A"/>
    <w:rsid w:val="00805133"/>
    <w:rsid w:val="008052F9"/>
    <w:rsid w:val="00805450"/>
    <w:rsid w:val="00805C05"/>
    <w:rsid w:val="00805EC3"/>
    <w:rsid w:val="00805EF2"/>
    <w:rsid w:val="00806E44"/>
    <w:rsid w:val="00806FFF"/>
    <w:rsid w:val="008077FF"/>
    <w:rsid w:val="00807ADB"/>
    <w:rsid w:val="008103D1"/>
    <w:rsid w:val="008107D3"/>
    <w:rsid w:val="00810DC6"/>
    <w:rsid w:val="00811648"/>
    <w:rsid w:val="008116C9"/>
    <w:rsid w:val="00811E10"/>
    <w:rsid w:val="008121F3"/>
    <w:rsid w:val="008126A9"/>
    <w:rsid w:val="008129FA"/>
    <w:rsid w:val="00812F29"/>
    <w:rsid w:val="008136F3"/>
    <w:rsid w:val="00814083"/>
    <w:rsid w:val="00814165"/>
    <w:rsid w:val="00814340"/>
    <w:rsid w:val="00815EB4"/>
    <w:rsid w:val="00816190"/>
    <w:rsid w:val="00816819"/>
    <w:rsid w:val="00816C68"/>
    <w:rsid w:val="00817161"/>
    <w:rsid w:val="00817656"/>
    <w:rsid w:val="008177EB"/>
    <w:rsid w:val="00817948"/>
    <w:rsid w:val="008208F1"/>
    <w:rsid w:val="00820C9C"/>
    <w:rsid w:val="00820FDD"/>
    <w:rsid w:val="0082109C"/>
    <w:rsid w:val="008210DA"/>
    <w:rsid w:val="0082116F"/>
    <w:rsid w:val="00821E99"/>
    <w:rsid w:val="00821F42"/>
    <w:rsid w:val="0082200B"/>
    <w:rsid w:val="00822270"/>
    <w:rsid w:val="008224FC"/>
    <w:rsid w:val="00822ABD"/>
    <w:rsid w:val="00822BD4"/>
    <w:rsid w:val="00822CA5"/>
    <w:rsid w:val="00822CE9"/>
    <w:rsid w:val="00823526"/>
    <w:rsid w:val="008242DB"/>
    <w:rsid w:val="00825FBC"/>
    <w:rsid w:val="0082649A"/>
    <w:rsid w:val="00826D70"/>
    <w:rsid w:val="00827463"/>
    <w:rsid w:val="0083103E"/>
    <w:rsid w:val="00831244"/>
    <w:rsid w:val="00831BA5"/>
    <w:rsid w:val="00831DAA"/>
    <w:rsid w:val="00832262"/>
    <w:rsid w:val="00832369"/>
    <w:rsid w:val="00832DA8"/>
    <w:rsid w:val="00833138"/>
    <w:rsid w:val="00833821"/>
    <w:rsid w:val="00833A2A"/>
    <w:rsid w:val="00833B99"/>
    <w:rsid w:val="00834A60"/>
    <w:rsid w:val="0083528E"/>
    <w:rsid w:val="0083532A"/>
    <w:rsid w:val="008355B4"/>
    <w:rsid w:val="00835C90"/>
    <w:rsid w:val="0083664B"/>
    <w:rsid w:val="008367F0"/>
    <w:rsid w:val="008369D0"/>
    <w:rsid w:val="008374FA"/>
    <w:rsid w:val="00837680"/>
    <w:rsid w:val="008377CB"/>
    <w:rsid w:val="0084099F"/>
    <w:rsid w:val="0084181D"/>
    <w:rsid w:val="00841B92"/>
    <w:rsid w:val="00841FB6"/>
    <w:rsid w:val="00842641"/>
    <w:rsid w:val="00842A1D"/>
    <w:rsid w:val="00842E65"/>
    <w:rsid w:val="00843002"/>
    <w:rsid w:val="008432F0"/>
    <w:rsid w:val="00843409"/>
    <w:rsid w:val="00843CE8"/>
    <w:rsid w:val="00843FA2"/>
    <w:rsid w:val="00844524"/>
    <w:rsid w:val="00844E3E"/>
    <w:rsid w:val="00844F2B"/>
    <w:rsid w:val="00844FD7"/>
    <w:rsid w:val="00845181"/>
    <w:rsid w:val="00845592"/>
    <w:rsid w:val="00845E4A"/>
    <w:rsid w:val="00846045"/>
    <w:rsid w:val="0084657F"/>
    <w:rsid w:val="00846B4A"/>
    <w:rsid w:val="00846EAE"/>
    <w:rsid w:val="00846EEE"/>
    <w:rsid w:val="00847781"/>
    <w:rsid w:val="00847889"/>
    <w:rsid w:val="00847995"/>
    <w:rsid w:val="00847BD9"/>
    <w:rsid w:val="008500F2"/>
    <w:rsid w:val="0085017C"/>
    <w:rsid w:val="00850299"/>
    <w:rsid w:val="0085182D"/>
    <w:rsid w:val="00852A61"/>
    <w:rsid w:val="00853A65"/>
    <w:rsid w:val="00853ABA"/>
    <w:rsid w:val="00855737"/>
    <w:rsid w:val="0085622E"/>
    <w:rsid w:val="00856649"/>
    <w:rsid w:val="008570C0"/>
    <w:rsid w:val="008577C2"/>
    <w:rsid w:val="00860951"/>
    <w:rsid w:val="00860C5C"/>
    <w:rsid w:val="008610AF"/>
    <w:rsid w:val="00861727"/>
    <w:rsid w:val="00861A67"/>
    <w:rsid w:val="00862909"/>
    <w:rsid w:val="0086357F"/>
    <w:rsid w:val="008635E2"/>
    <w:rsid w:val="00863872"/>
    <w:rsid w:val="008641FC"/>
    <w:rsid w:val="00864932"/>
    <w:rsid w:val="00864EBC"/>
    <w:rsid w:val="00864F59"/>
    <w:rsid w:val="00864F6D"/>
    <w:rsid w:val="008657BE"/>
    <w:rsid w:val="00866409"/>
    <w:rsid w:val="008668A4"/>
    <w:rsid w:val="00866A23"/>
    <w:rsid w:val="00866B61"/>
    <w:rsid w:val="008674B4"/>
    <w:rsid w:val="0086789B"/>
    <w:rsid w:val="008708DF"/>
    <w:rsid w:val="00870C7A"/>
    <w:rsid w:val="00871AB9"/>
    <w:rsid w:val="00871C67"/>
    <w:rsid w:val="0087234E"/>
    <w:rsid w:val="00872847"/>
    <w:rsid w:val="00872BC3"/>
    <w:rsid w:val="00873201"/>
    <w:rsid w:val="0087417D"/>
    <w:rsid w:val="008742FC"/>
    <w:rsid w:val="00874366"/>
    <w:rsid w:val="00874805"/>
    <w:rsid w:val="00874A03"/>
    <w:rsid w:val="00874CCF"/>
    <w:rsid w:val="008750C6"/>
    <w:rsid w:val="008769BC"/>
    <w:rsid w:val="00876F47"/>
    <w:rsid w:val="00877927"/>
    <w:rsid w:val="00877E7C"/>
    <w:rsid w:val="00880734"/>
    <w:rsid w:val="0088119F"/>
    <w:rsid w:val="00882744"/>
    <w:rsid w:val="0088275C"/>
    <w:rsid w:val="00882E6B"/>
    <w:rsid w:val="00883139"/>
    <w:rsid w:val="008833A5"/>
    <w:rsid w:val="008833C5"/>
    <w:rsid w:val="008834B7"/>
    <w:rsid w:val="00883DC3"/>
    <w:rsid w:val="00883F72"/>
    <w:rsid w:val="0088492A"/>
    <w:rsid w:val="0088518D"/>
    <w:rsid w:val="0088522C"/>
    <w:rsid w:val="0088610B"/>
    <w:rsid w:val="0088610C"/>
    <w:rsid w:val="0088627E"/>
    <w:rsid w:val="00886646"/>
    <w:rsid w:val="00886BB7"/>
    <w:rsid w:val="00887280"/>
    <w:rsid w:val="0088777D"/>
    <w:rsid w:val="00887AED"/>
    <w:rsid w:val="00890630"/>
    <w:rsid w:val="00891789"/>
    <w:rsid w:val="00891B87"/>
    <w:rsid w:val="00891BD1"/>
    <w:rsid w:val="00891DA8"/>
    <w:rsid w:val="0089276F"/>
    <w:rsid w:val="008927BD"/>
    <w:rsid w:val="00892934"/>
    <w:rsid w:val="00892A0C"/>
    <w:rsid w:val="00892D0E"/>
    <w:rsid w:val="00894172"/>
    <w:rsid w:val="0089477D"/>
    <w:rsid w:val="00894D77"/>
    <w:rsid w:val="00894DA6"/>
    <w:rsid w:val="008956D7"/>
    <w:rsid w:val="00895768"/>
    <w:rsid w:val="00895D04"/>
    <w:rsid w:val="00896284"/>
    <w:rsid w:val="00896410"/>
    <w:rsid w:val="00896E08"/>
    <w:rsid w:val="00897B8D"/>
    <w:rsid w:val="00897FA6"/>
    <w:rsid w:val="008A0446"/>
    <w:rsid w:val="008A0B14"/>
    <w:rsid w:val="008A0C69"/>
    <w:rsid w:val="008A0F09"/>
    <w:rsid w:val="008A2236"/>
    <w:rsid w:val="008A23F8"/>
    <w:rsid w:val="008A2B77"/>
    <w:rsid w:val="008A2D1B"/>
    <w:rsid w:val="008A2E47"/>
    <w:rsid w:val="008A3211"/>
    <w:rsid w:val="008A3707"/>
    <w:rsid w:val="008A3E2F"/>
    <w:rsid w:val="008A3E82"/>
    <w:rsid w:val="008A4ABD"/>
    <w:rsid w:val="008A4E41"/>
    <w:rsid w:val="008A4FF9"/>
    <w:rsid w:val="008A53F2"/>
    <w:rsid w:val="008A5CE1"/>
    <w:rsid w:val="008A5E7E"/>
    <w:rsid w:val="008A67A5"/>
    <w:rsid w:val="008A6F65"/>
    <w:rsid w:val="008A6F87"/>
    <w:rsid w:val="008A7977"/>
    <w:rsid w:val="008B0C47"/>
    <w:rsid w:val="008B0D32"/>
    <w:rsid w:val="008B1297"/>
    <w:rsid w:val="008B237A"/>
    <w:rsid w:val="008B2566"/>
    <w:rsid w:val="008B26AC"/>
    <w:rsid w:val="008B289A"/>
    <w:rsid w:val="008B28DD"/>
    <w:rsid w:val="008B2DE5"/>
    <w:rsid w:val="008B2EB2"/>
    <w:rsid w:val="008B410D"/>
    <w:rsid w:val="008B46BE"/>
    <w:rsid w:val="008B49AC"/>
    <w:rsid w:val="008B51C5"/>
    <w:rsid w:val="008B698D"/>
    <w:rsid w:val="008B7A4C"/>
    <w:rsid w:val="008B7B08"/>
    <w:rsid w:val="008C0314"/>
    <w:rsid w:val="008C07E0"/>
    <w:rsid w:val="008C0A35"/>
    <w:rsid w:val="008C0E72"/>
    <w:rsid w:val="008C0F44"/>
    <w:rsid w:val="008C118C"/>
    <w:rsid w:val="008C1268"/>
    <w:rsid w:val="008C13CA"/>
    <w:rsid w:val="008C25DE"/>
    <w:rsid w:val="008C27C8"/>
    <w:rsid w:val="008C2AE1"/>
    <w:rsid w:val="008C2CCB"/>
    <w:rsid w:val="008C3942"/>
    <w:rsid w:val="008C3F39"/>
    <w:rsid w:val="008C4069"/>
    <w:rsid w:val="008C43D6"/>
    <w:rsid w:val="008C50B4"/>
    <w:rsid w:val="008C51FB"/>
    <w:rsid w:val="008C5369"/>
    <w:rsid w:val="008C5543"/>
    <w:rsid w:val="008C59EF"/>
    <w:rsid w:val="008C5E0A"/>
    <w:rsid w:val="008C6524"/>
    <w:rsid w:val="008C6C76"/>
    <w:rsid w:val="008C6E4C"/>
    <w:rsid w:val="008C70FE"/>
    <w:rsid w:val="008C729D"/>
    <w:rsid w:val="008C73A1"/>
    <w:rsid w:val="008C77D6"/>
    <w:rsid w:val="008D071D"/>
    <w:rsid w:val="008D0F8B"/>
    <w:rsid w:val="008D186F"/>
    <w:rsid w:val="008D188B"/>
    <w:rsid w:val="008D2817"/>
    <w:rsid w:val="008D284C"/>
    <w:rsid w:val="008D2DE7"/>
    <w:rsid w:val="008D3769"/>
    <w:rsid w:val="008D3AE4"/>
    <w:rsid w:val="008D3F46"/>
    <w:rsid w:val="008D3FD4"/>
    <w:rsid w:val="008D3FFB"/>
    <w:rsid w:val="008D4080"/>
    <w:rsid w:val="008D43EB"/>
    <w:rsid w:val="008D491F"/>
    <w:rsid w:val="008D4C26"/>
    <w:rsid w:val="008D4CF7"/>
    <w:rsid w:val="008D51E8"/>
    <w:rsid w:val="008D527B"/>
    <w:rsid w:val="008D5420"/>
    <w:rsid w:val="008D6B9B"/>
    <w:rsid w:val="008D7AAA"/>
    <w:rsid w:val="008D7C90"/>
    <w:rsid w:val="008E0573"/>
    <w:rsid w:val="008E1876"/>
    <w:rsid w:val="008E194C"/>
    <w:rsid w:val="008E1C0C"/>
    <w:rsid w:val="008E1F61"/>
    <w:rsid w:val="008E231C"/>
    <w:rsid w:val="008E3113"/>
    <w:rsid w:val="008E35CC"/>
    <w:rsid w:val="008E36B2"/>
    <w:rsid w:val="008E4B1F"/>
    <w:rsid w:val="008E599F"/>
    <w:rsid w:val="008E5F39"/>
    <w:rsid w:val="008E5F67"/>
    <w:rsid w:val="008E6375"/>
    <w:rsid w:val="008E671A"/>
    <w:rsid w:val="008E6A73"/>
    <w:rsid w:val="008E7271"/>
    <w:rsid w:val="008E78FA"/>
    <w:rsid w:val="008E79FD"/>
    <w:rsid w:val="008E7AE3"/>
    <w:rsid w:val="008F02BA"/>
    <w:rsid w:val="008F0356"/>
    <w:rsid w:val="008F0375"/>
    <w:rsid w:val="008F0996"/>
    <w:rsid w:val="008F0AA7"/>
    <w:rsid w:val="008F0CF6"/>
    <w:rsid w:val="008F29B0"/>
    <w:rsid w:val="008F3223"/>
    <w:rsid w:val="008F34F4"/>
    <w:rsid w:val="008F45BD"/>
    <w:rsid w:val="008F4646"/>
    <w:rsid w:val="008F49CB"/>
    <w:rsid w:val="008F4C4C"/>
    <w:rsid w:val="008F5A20"/>
    <w:rsid w:val="008F6F97"/>
    <w:rsid w:val="008F7BDC"/>
    <w:rsid w:val="00901507"/>
    <w:rsid w:val="009030A0"/>
    <w:rsid w:val="009035E4"/>
    <w:rsid w:val="00903892"/>
    <w:rsid w:val="00903AF4"/>
    <w:rsid w:val="00904D35"/>
    <w:rsid w:val="0090519D"/>
    <w:rsid w:val="0090590A"/>
    <w:rsid w:val="00905B73"/>
    <w:rsid w:val="00905C17"/>
    <w:rsid w:val="00905DF5"/>
    <w:rsid w:val="00906190"/>
    <w:rsid w:val="00906414"/>
    <w:rsid w:val="009064A9"/>
    <w:rsid w:val="00906886"/>
    <w:rsid w:val="009069D8"/>
    <w:rsid w:val="009074C1"/>
    <w:rsid w:val="009100C3"/>
    <w:rsid w:val="009102C8"/>
    <w:rsid w:val="00910590"/>
    <w:rsid w:val="00910840"/>
    <w:rsid w:val="00910D9D"/>
    <w:rsid w:val="009110D0"/>
    <w:rsid w:val="009112F8"/>
    <w:rsid w:val="00911348"/>
    <w:rsid w:val="009117C8"/>
    <w:rsid w:val="0091213B"/>
    <w:rsid w:val="00912526"/>
    <w:rsid w:val="00912E23"/>
    <w:rsid w:val="00914FC2"/>
    <w:rsid w:val="009157BF"/>
    <w:rsid w:val="00915834"/>
    <w:rsid w:val="00915BD9"/>
    <w:rsid w:val="00915D7D"/>
    <w:rsid w:val="00916048"/>
    <w:rsid w:val="00916B4D"/>
    <w:rsid w:val="00916E31"/>
    <w:rsid w:val="00917174"/>
    <w:rsid w:val="009175D5"/>
    <w:rsid w:val="0092044A"/>
    <w:rsid w:val="0092077D"/>
    <w:rsid w:val="00922A75"/>
    <w:rsid w:val="00924E0E"/>
    <w:rsid w:val="00924EF7"/>
    <w:rsid w:val="009258FC"/>
    <w:rsid w:val="009259CE"/>
    <w:rsid w:val="00925A7F"/>
    <w:rsid w:val="00925BA0"/>
    <w:rsid w:val="009262B9"/>
    <w:rsid w:val="00926950"/>
    <w:rsid w:val="00926D39"/>
    <w:rsid w:val="00926F07"/>
    <w:rsid w:val="00927877"/>
    <w:rsid w:val="00927C2D"/>
    <w:rsid w:val="00930314"/>
    <w:rsid w:val="0093051E"/>
    <w:rsid w:val="00930667"/>
    <w:rsid w:val="00931256"/>
    <w:rsid w:val="00931CF9"/>
    <w:rsid w:val="00931D55"/>
    <w:rsid w:val="009321D0"/>
    <w:rsid w:val="0093270C"/>
    <w:rsid w:val="009329CF"/>
    <w:rsid w:val="0093302C"/>
    <w:rsid w:val="009336F7"/>
    <w:rsid w:val="00933B4F"/>
    <w:rsid w:val="00933B6D"/>
    <w:rsid w:val="00933D32"/>
    <w:rsid w:val="00933E5B"/>
    <w:rsid w:val="00933EAA"/>
    <w:rsid w:val="00934BF3"/>
    <w:rsid w:val="009359A4"/>
    <w:rsid w:val="0093600F"/>
    <w:rsid w:val="00936136"/>
    <w:rsid w:val="00936F46"/>
    <w:rsid w:val="009375A6"/>
    <w:rsid w:val="00937A16"/>
    <w:rsid w:val="00937D06"/>
    <w:rsid w:val="00937FE2"/>
    <w:rsid w:val="00940655"/>
    <w:rsid w:val="009408FB"/>
    <w:rsid w:val="00940F00"/>
    <w:rsid w:val="009413EF"/>
    <w:rsid w:val="00941B80"/>
    <w:rsid w:val="00942922"/>
    <w:rsid w:val="0094296D"/>
    <w:rsid w:val="00943867"/>
    <w:rsid w:val="00943B45"/>
    <w:rsid w:val="00944049"/>
    <w:rsid w:val="00944078"/>
    <w:rsid w:val="00944810"/>
    <w:rsid w:val="00944D80"/>
    <w:rsid w:val="00946017"/>
    <w:rsid w:val="009465A5"/>
    <w:rsid w:val="00946ED5"/>
    <w:rsid w:val="009471A0"/>
    <w:rsid w:val="0094720F"/>
    <w:rsid w:val="009501E4"/>
    <w:rsid w:val="00950267"/>
    <w:rsid w:val="00950292"/>
    <w:rsid w:val="009502A6"/>
    <w:rsid w:val="009504B6"/>
    <w:rsid w:val="00950783"/>
    <w:rsid w:val="00950BA1"/>
    <w:rsid w:val="009526C6"/>
    <w:rsid w:val="009530B8"/>
    <w:rsid w:val="00953670"/>
    <w:rsid w:val="00953C38"/>
    <w:rsid w:val="00953D73"/>
    <w:rsid w:val="00953E8E"/>
    <w:rsid w:val="00953EF9"/>
    <w:rsid w:val="0095424B"/>
    <w:rsid w:val="009542D8"/>
    <w:rsid w:val="00954619"/>
    <w:rsid w:val="0095480A"/>
    <w:rsid w:val="009568C0"/>
    <w:rsid w:val="009569CF"/>
    <w:rsid w:val="00956B10"/>
    <w:rsid w:val="00956C06"/>
    <w:rsid w:val="00956C7A"/>
    <w:rsid w:val="00956F42"/>
    <w:rsid w:val="00957172"/>
    <w:rsid w:val="009573A6"/>
    <w:rsid w:val="00957A2D"/>
    <w:rsid w:val="00957E48"/>
    <w:rsid w:val="009603F0"/>
    <w:rsid w:val="009607E4"/>
    <w:rsid w:val="00960A4B"/>
    <w:rsid w:val="00960B45"/>
    <w:rsid w:val="00961525"/>
    <w:rsid w:val="00961658"/>
    <w:rsid w:val="009617E9"/>
    <w:rsid w:val="009617F6"/>
    <w:rsid w:val="0096215D"/>
    <w:rsid w:val="009623CB"/>
    <w:rsid w:val="009625E7"/>
    <w:rsid w:val="00963438"/>
    <w:rsid w:val="009638A4"/>
    <w:rsid w:val="009638C2"/>
    <w:rsid w:val="0096394E"/>
    <w:rsid w:val="00963BE9"/>
    <w:rsid w:val="00964267"/>
    <w:rsid w:val="009654EC"/>
    <w:rsid w:val="00965969"/>
    <w:rsid w:val="00966048"/>
    <w:rsid w:val="00966124"/>
    <w:rsid w:val="00967898"/>
    <w:rsid w:val="00967913"/>
    <w:rsid w:val="00967EED"/>
    <w:rsid w:val="00967F53"/>
    <w:rsid w:val="00967FA9"/>
    <w:rsid w:val="00970CC8"/>
    <w:rsid w:val="009714EF"/>
    <w:rsid w:val="0097189A"/>
    <w:rsid w:val="00971B80"/>
    <w:rsid w:val="00971D1C"/>
    <w:rsid w:val="00971DCE"/>
    <w:rsid w:val="00972304"/>
    <w:rsid w:val="00973883"/>
    <w:rsid w:val="00973E25"/>
    <w:rsid w:val="00973E52"/>
    <w:rsid w:val="00974C46"/>
    <w:rsid w:val="009757A2"/>
    <w:rsid w:val="00975836"/>
    <w:rsid w:val="00975D98"/>
    <w:rsid w:val="0097681F"/>
    <w:rsid w:val="00976D3D"/>
    <w:rsid w:val="009770B4"/>
    <w:rsid w:val="0097761C"/>
    <w:rsid w:val="00977732"/>
    <w:rsid w:val="009804C3"/>
    <w:rsid w:val="009815B9"/>
    <w:rsid w:val="00981E52"/>
    <w:rsid w:val="00982390"/>
    <w:rsid w:val="00982499"/>
    <w:rsid w:val="00982584"/>
    <w:rsid w:val="0098285E"/>
    <w:rsid w:val="00982D29"/>
    <w:rsid w:val="009849E5"/>
    <w:rsid w:val="00984BCD"/>
    <w:rsid w:val="009850B2"/>
    <w:rsid w:val="00985781"/>
    <w:rsid w:val="00985DED"/>
    <w:rsid w:val="0098641C"/>
    <w:rsid w:val="00986EC7"/>
    <w:rsid w:val="00987592"/>
    <w:rsid w:val="0098765D"/>
    <w:rsid w:val="009901CC"/>
    <w:rsid w:val="00990AF1"/>
    <w:rsid w:val="009916A8"/>
    <w:rsid w:val="0099185A"/>
    <w:rsid w:val="0099208F"/>
    <w:rsid w:val="009922CC"/>
    <w:rsid w:val="00992361"/>
    <w:rsid w:val="00992488"/>
    <w:rsid w:val="00994203"/>
    <w:rsid w:val="00994533"/>
    <w:rsid w:val="009957B1"/>
    <w:rsid w:val="00995BAC"/>
    <w:rsid w:val="00995E18"/>
    <w:rsid w:val="00995E4A"/>
    <w:rsid w:val="00996DF7"/>
    <w:rsid w:val="00996EA4"/>
    <w:rsid w:val="009A0C18"/>
    <w:rsid w:val="009A124A"/>
    <w:rsid w:val="009A1894"/>
    <w:rsid w:val="009A1AB8"/>
    <w:rsid w:val="009A1B0A"/>
    <w:rsid w:val="009A1C55"/>
    <w:rsid w:val="009A1F7C"/>
    <w:rsid w:val="009A2BD3"/>
    <w:rsid w:val="009A333B"/>
    <w:rsid w:val="009A3F50"/>
    <w:rsid w:val="009A4197"/>
    <w:rsid w:val="009A4487"/>
    <w:rsid w:val="009A4773"/>
    <w:rsid w:val="009A484F"/>
    <w:rsid w:val="009A4B4F"/>
    <w:rsid w:val="009A4CB5"/>
    <w:rsid w:val="009A61D7"/>
    <w:rsid w:val="009A63D9"/>
    <w:rsid w:val="009A76B3"/>
    <w:rsid w:val="009B0777"/>
    <w:rsid w:val="009B0ADF"/>
    <w:rsid w:val="009B0B81"/>
    <w:rsid w:val="009B1599"/>
    <w:rsid w:val="009B17F3"/>
    <w:rsid w:val="009B2106"/>
    <w:rsid w:val="009B2C3F"/>
    <w:rsid w:val="009B2D59"/>
    <w:rsid w:val="009B32B7"/>
    <w:rsid w:val="009B33C0"/>
    <w:rsid w:val="009B46E1"/>
    <w:rsid w:val="009B5B3B"/>
    <w:rsid w:val="009B5BE7"/>
    <w:rsid w:val="009B6433"/>
    <w:rsid w:val="009B69F6"/>
    <w:rsid w:val="009B72F0"/>
    <w:rsid w:val="009B7785"/>
    <w:rsid w:val="009C0522"/>
    <w:rsid w:val="009C0F4E"/>
    <w:rsid w:val="009C1252"/>
    <w:rsid w:val="009C19DC"/>
    <w:rsid w:val="009C1A21"/>
    <w:rsid w:val="009C201D"/>
    <w:rsid w:val="009C2149"/>
    <w:rsid w:val="009C2229"/>
    <w:rsid w:val="009C3872"/>
    <w:rsid w:val="009C3CC9"/>
    <w:rsid w:val="009C4357"/>
    <w:rsid w:val="009C43E6"/>
    <w:rsid w:val="009C454B"/>
    <w:rsid w:val="009C497D"/>
    <w:rsid w:val="009C4A62"/>
    <w:rsid w:val="009C4C64"/>
    <w:rsid w:val="009C5861"/>
    <w:rsid w:val="009C644D"/>
    <w:rsid w:val="009C6CC5"/>
    <w:rsid w:val="009C716E"/>
    <w:rsid w:val="009C75C9"/>
    <w:rsid w:val="009D0094"/>
    <w:rsid w:val="009D00CB"/>
    <w:rsid w:val="009D039B"/>
    <w:rsid w:val="009D0EA8"/>
    <w:rsid w:val="009D192E"/>
    <w:rsid w:val="009D1F75"/>
    <w:rsid w:val="009D2503"/>
    <w:rsid w:val="009D285B"/>
    <w:rsid w:val="009D2928"/>
    <w:rsid w:val="009D2A18"/>
    <w:rsid w:val="009D2B9F"/>
    <w:rsid w:val="009D30A1"/>
    <w:rsid w:val="009D33D7"/>
    <w:rsid w:val="009D3557"/>
    <w:rsid w:val="009D3AEE"/>
    <w:rsid w:val="009D4435"/>
    <w:rsid w:val="009D4A25"/>
    <w:rsid w:val="009D5EBC"/>
    <w:rsid w:val="009D613E"/>
    <w:rsid w:val="009D6E1A"/>
    <w:rsid w:val="009D6FBC"/>
    <w:rsid w:val="009D718A"/>
    <w:rsid w:val="009D71D1"/>
    <w:rsid w:val="009E0095"/>
    <w:rsid w:val="009E0540"/>
    <w:rsid w:val="009E06F9"/>
    <w:rsid w:val="009E1390"/>
    <w:rsid w:val="009E1A2F"/>
    <w:rsid w:val="009E1D77"/>
    <w:rsid w:val="009E218E"/>
    <w:rsid w:val="009E258F"/>
    <w:rsid w:val="009E26DC"/>
    <w:rsid w:val="009E39C5"/>
    <w:rsid w:val="009E4360"/>
    <w:rsid w:val="009E4958"/>
    <w:rsid w:val="009E4DFB"/>
    <w:rsid w:val="009E61C2"/>
    <w:rsid w:val="009E6371"/>
    <w:rsid w:val="009E6995"/>
    <w:rsid w:val="009E6C5D"/>
    <w:rsid w:val="009E76C9"/>
    <w:rsid w:val="009F1071"/>
    <w:rsid w:val="009F1429"/>
    <w:rsid w:val="009F1961"/>
    <w:rsid w:val="009F2499"/>
    <w:rsid w:val="009F25E6"/>
    <w:rsid w:val="009F2FC3"/>
    <w:rsid w:val="009F35C0"/>
    <w:rsid w:val="009F377E"/>
    <w:rsid w:val="009F3A7B"/>
    <w:rsid w:val="009F3CFB"/>
    <w:rsid w:val="009F3DEE"/>
    <w:rsid w:val="009F3E1E"/>
    <w:rsid w:val="009F4151"/>
    <w:rsid w:val="009F4BBF"/>
    <w:rsid w:val="009F5099"/>
    <w:rsid w:val="009F592D"/>
    <w:rsid w:val="009F5960"/>
    <w:rsid w:val="009F59C5"/>
    <w:rsid w:val="009F6103"/>
    <w:rsid w:val="009F6ECF"/>
    <w:rsid w:val="009F6FE1"/>
    <w:rsid w:val="009F702C"/>
    <w:rsid w:val="009F7349"/>
    <w:rsid w:val="009F753C"/>
    <w:rsid w:val="009F7BC5"/>
    <w:rsid w:val="00A00054"/>
    <w:rsid w:val="00A0050A"/>
    <w:rsid w:val="00A00724"/>
    <w:rsid w:val="00A00C02"/>
    <w:rsid w:val="00A00C84"/>
    <w:rsid w:val="00A0140B"/>
    <w:rsid w:val="00A01615"/>
    <w:rsid w:val="00A018EA"/>
    <w:rsid w:val="00A019B8"/>
    <w:rsid w:val="00A01CC2"/>
    <w:rsid w:val="00A02BAE"/>
    <w:rsid w:val="00A03E9C"/>
    <w:rsid w:val="00A04482"/>
    <w:rsid w:val="00A04801"/>
    <w:rsid w:val="00A04CB6"/>
    <w:rsid w:val="00A059E7"/>
    <w:rsid w:val="00A05F6A"/>
    <w:rsid w:val="00A06237"/>
    <w:rsid w:val="00A06F73"/>
    <w:rsid w:val="00A072FA"/>
    <w:rsid w:val="00A07552"/>
    <w:rsid w:val="00A078CA"/>
    <w:rsid w:val="00A07CFF"/>
    <w:rsid w:val="00A108D7"/>
    <w:rsid w:val="00A11161"/>
    <w:rsid w:val="00A11B9A"/>
    <w:rsid w:val="00A121B4"/>
    <w:rsid w:val="00A12C17"/>
    <w:rsid w:val="00A12E15"/>
    <w:rsid w:val="00A14811"/>
    <w:rsid w:val="00A14992"/>
    <w:rsid w:val="00A14B62"/>
    <w:rsid w:val="00A14BF7"/>
    <w:rsid w:val="00A14EFD"/>
    <w:rsid w:val="00A153C3"/>
    <w:rsid w:val="00A153D0"/>
    <w:rsid w:val="00A1558D"/>
    <w:rsid w:val="00A15703"/>
    <w:rsid w:val="00A15812"/>
    <w:rsid w:val="00A1599A"/>
    <w:rsid w:val="00A15A0A"/>
    <w:rsid w:val="00A15A96"/>
    <w:rsid w:val="00A15BEF"/>
    <w:rsid w:val="00A17022"/>
    <w:rsid w:val="00A20690"/>
    <w:rsid w:val="00A20769"/>
    <w:rsid w:val="00A21479"/>
    <w:rsid w:val="00A2191D"/>
    <w:rsid w:val="00A21A89"/>
    <w:rsid w:val="00A22070"/>
    <w:rsid w:val="00A223C2"/>
    <w:rsid w:val="00A22454"/>
    <w:rsid w:val="00A225CE"/>
    <w:rsid w:val="00A226D0"/>
    <w:rsid w:val="00A239DB"/>
    <w:rsid w:val="00A24080"/>
    <w:rsid w:val="00A24708"/>
    <w:rsid w:val="00A24F20"/>
    <w:rsid w:val="00A25130"/>
    <w:rsid w:val="00A2569C"/>
    <w:rsid w:val="00A25A2A"/>
    <w:rsid w:val="00A25A6E"/>
    <w:rsid w:val="00A25DE7"/>
    <w:rsid w:val="00A27052"/>
    <w:rsid w:val="00A274C1"/>
    <w:rsid w:val="00A27511"/>
    <w:rsid w:val="00A277E3"/>
    <w:rsid w:val="00A30CD1"/>
    <w:rsid w:val="00A30DF0"/>
    <w:rsid w:val="00A31201"/>
    <w:rsid w:val="00A3205B"/>
    <w:rsid w:val="00A3285D"/>
    <w:rsid w:val="00A328E1"/>
    <w:rsid w:val="00A328F7"/>
    <w:rsid w:val="00A32D6B"/>
    <w:rsid w:val="00A331CE"/>
    <w:rsid w:val="00A33256"/>
    <w:rsid w:val="00A33D8C"/>
    <w:rsid w:val="00A33F91"/>
    <w:rsid w:val="00A34256"/>
    <w:rsid w:val="00A34FA4"/>
    <w:rsid w:val="00A356B9"/>
    <w:rsid w:val="00A3781B"/>
    <w:rsid w:val="00A37FB9"/>
    <w:rsid w:val="00A40151"/>
    <w:rsid w:val="00A40C68"/>
    <w:rsid w:val="00A40E21"/>
    <w:rsid w:val="00A40E64"/>
    <w:rsid w:val="00A410DC"/>
    <w:rsid w:val="00A41261"/>
    <w:rsid w:val="00A4191E"/>
    <w:rsid w:val="00A41A83"/>
    <w:rsid w:val="00A42356"/>
    <w:rsid w:val="00A4246A"/>
    <w:rsid w:val="00A42BAA"/>
    <w:rsid w:val="00A42CE1"/>
    <w:rsid w:val="00A43549"/>
    <w:rsid w:val="00A43A83"/>
    <w:rsid w:val="00A43AAE"/>
    <w:rsid w:val="00A44977"/>
    <w:rsid w:val="00A44E31"/>
    <w:rsid w:val="00A44E47"/>
    <w:rsid w:val="00A45012"/>
    <w:rsid w:val="00A452A4"/>
    <w:rsid w:val="00A45898"/>
    <w:rsid w:val="00A46020"/>
    <w:rsid w:val="00A47642"/>
    <w:rsid w:val="00A4770C"/>
    <w:rsid w:val="00A477B2"/>
    <w:rsid w:val="00A47BE2"/>
    <w:rsid w:val="00A47D84"/>
    <w:rsid w:val="00A5058A"/>
    <w:rsid w:val="00A506F8"/>
    <w:rsid w:val="00A5101D"/>
    <w:rsid w:val="00A51AED"/>
    <w:rsid w:val="00A51EDC"/>
    <w:rsid w:val="00A5205B"/>
    <w:rsid w:val="00A52CAC"/>
    <w:rsid w:val="00A531F4"/>
    <w:rsid w:val="00A53459"/>
    <w:rsid w:val="00A53669"/>
    <w:rsid w:val="00A53EB2"/>
    <w:rsid w:val="00A54326"/>
    <w:rsid w:val="00A54F29"/>
    <w:rsid w:val="00A553AF"/>
    <w:rsid w:val="00A55AAE"/>
    <w:rsid w:val="00A55E12"/>
    <w:rsid w:val="00A56181"/>
    <w:rsid w:val="00A567E2"/>
    <w:rsid w:val="00A56E15"/>
    <w:rsid w:val="00A56EB8"/>
    <w:rsid w:val="00A57594"/>
    <w:rsid w:val="00A577EC"/>
    <w:rsid w:val="00A6013A"/>
    <w:rsid w:val="00A61461"/>
    <w:rsid w:val="00A614A5"/>
    <w:rsid w:val="00A61AB1"/>
    <w:rsid w:val="00A62240"/>
    <w:rsid w:val="00A6238A"/>
    <w:rsid w:val="00A62411"/>
    <w:rsid w:val="00A62B3D"/>
    <w:rsid w:val="00A637B6"/>
    <w:rsid w:val="00A6447A"/>
    <w:rsid w:val="00A65329"/>
    <w:rsid w:val="00A65371"/>
    <w:rsid w:val="00A65E44"/>
    <w:rsid w:val="00A65F57"/>
    <w:rsid w:val="00A66560"/>
    <w:rsid w:val="00A6709E"/>
    <w:rsid w:val="00A671C5"/>
    <w:rsid w:val="00A67434"/>
    <w:rsid w:val="00A6759B"/>
    <w:rsid w:val="00A67C5A"/>
    <w:rsid w:val="00A701A0"/>
    <w:rsid w:val="00A7021B"/>
    <w:rsid w:val="00A70363"/>
    <w:rsid w:val="00A705E5"/>
    <w:rsid w:val="00A709C0"/>
    <w:rsid w:val="00A70BD4"/>
    <w:rsid w:val="00A70CD7"/>
    <w:rsid w:val="00A71045"/>
    <w:rsid w:val="00A71050"/>
    <w:rsid w:val="00A713B1"/>
    <w:rsid w:val="00A71B50"/>
    <w:rsid w:val="00A71D95"/>
    <w:rsid w:val="00A71EF1"/>
    <w:rsid w:val="00A7217C"/>
    <w:rsid w:val="00A72568"/>
    <w:rsid w:val="00A731AA"/>
    <w:rsid w:val="00A73291"/>
    <w:rsid w:val="00A73385"/>
    <w:rsid w:val="00A73568"/>
    <w:rsid w:val="00A73E54"/>
    <w:rsid w:val="00A74287"/>
    <w:rsid w:val="00A74454"/>
    <w:rsid w:val="00A74685"/>
    <w:rsid w:val="00A74B51"/>
    <w:rsid w:val="00A74B7A"/>
    <w:rsid w:val="00A74FCC"/>
    <w:rsid w:val="00A74FF7"/>
    <w:rsid w:val="00A7501A"/>
    <w:rsid w:val="00A7510A"/>
    <w:rsid w:val="00A75E52"/>
    <w:rsid w:val="00A75FCC"/>
    <w:rsid w:val="00A7613C"/>
    <w:rsid w:val="00A76396"/>
    <w:rsid w:val="00A7687D"/>
    <w:rsid w:val="00A773E0"/>
    <w:rsid w:val="00A77622"/>
    <w:rsid w:val="00A77885"/>
    <w:rsid w:val="00A77C58"/>
    <w:rsid w:val="00A77E7E"/>
    <w:rsid w:val="00A80657"/>
    <w:rsid w:val="00A807FC"/>
    <w:rsid w:val="00A81105"/>
    <w:rsid w:val="00A8155C"/>
    <w:rsid w:val="00A818FB"/>
    <w:rsid w:val="00A81BB6"/>
    <w:rsid w:val="00A82AB7"/>
    <w:rsid w:val="00A831FC"/>
    <w:rsid w:val="00A83339"/>
    <w:rsid w:val="00A83624"/>
    <w:rsid w:val="00A83730"/>
    <w:rsid w:val="00A83B1D"/>
    <w:rsid w:val="00A842CE"/>
    <w:rsid w:val="00A84931"/>
    <w:rsid w:val="00A84A8C"/>
    <w:rsid w:val="00A85079"/>
    <w:rsid w:val="00A85C31"/>
    <w:rsid w:val="00A86674"/>
    <w:rsid w:val="00A868FB"/>
    <w:rsid w:val="00A86E52"/>
    <w:rsid w:val="00A87635"/>
    <w:rsid w:val="00A87FCA"/>
    <w:rsid w:val="00A901F5"/>
    <w:rsid w:val="00A9031C"/>
    <w:rsid w:val="00A90F75"/>
    <w:rsid w:val="00A91045"/>
    <w:rsid w:val="00A91982"/>
    <w:rsid w:val="00A927F5"/>
    <w:rsid w:val="00A92B36"/>
    <w:rsid w:val="00A92FBB"/>
    <w:rsid w:val="00A931B0"/>
    <w:rsid w:val="00A931B6"/>
    <w:rsid w:val="00A93CBC"/>
    <w:rsid w:val="00A94242"/>
    <w:rsid w:val="00A944EC"/>
    <w:rsid w:val="00A9466F"/>
    <w:rsid w:val="00A95EEC"/>
    <w:rsid w:val="00A968E5"/>
    <w:rsid w:val="00A9717A"/>
    <w:rsid w:val="00A97854"/>
    <w:rsid w:val="00A97C19"/>
    <w:rsid w:val="00AA065B"/>
    <w:rsid w:val="00AA07CD"/>
    <w:rsid w:val="00AA082C"/>
    <w:rsid w:val="00AA195F"/>
    <w:rsid w:val="00AA2C14"/>
    <w:rsid w:val="00AA3BEA"/>
    <w:rsid w:val="00AA47A6"/>
    <w:rsid w:val="00AA4A05"/>
    <w:rsid w:val="00AA4BA9"/>
    <w:rsid w:val="00AA4F0F"/>
    <w:rsid w:val="00AA5114"/>
    <w:rsid w:val="00AA5641"/>
    <w:rsid w:val="00AA6223"/>
    <w:rsid w:val="00AA6431"/>
    <w:rsid w:val="00AB0BC2"/>
    <w:rsid w:val="00AB0ED0"/>
    <w:rsid w:val="00AB10AB"/>
    <w:rsid w:val="00AB1643"/>
    <w:rsid w:val="00AB19D1"/>
    <w:rsid w:val="00AB1CAD"/>
    <w:rsid w:val="00AB21D6"/>
    <w:rsid w:val="00AB254F"/>
    <w:rsid w:val="00AB25C3"/>
    <w:rsid w:val="00AB2D8F"/>
    <w:rsid w:val="00AB3338"/>
    <w:rsid w:val="00AB33D7"/>
    <w:rsid w:val="00AB391F"/>
    <w:rsid w:val="00AB3F5D"/>
    <w:rsid w:val="00AB47CB"/>
    <w:rsid w:val="00AB4CEC"/>
    <w:rsid w:val="00AB4D35"/>
    <w:rsid w:val="00AB4EB0"/>
    <w:rsid w:val="00AB4EF6"/>
    <w:rsid w:val="00AB5122"/>
    <w:rsid w:val="00AB62C5"/>
    <w:rsid w:val="00AB6F06"/>
    <w:rsid w:val="00AB704F"/>
    <w:rsid w:val="00AB77EC"/>
    <w:rsid w:val="00AB7D25"/>
    <w:rsid w:val="00AC013E"/>
    <w:rsid w:val="00AC08F9"/>
    <w:rsid w:val="00AC0F97"/>
    <w:rsid w:val="00AC119E"/>
    <w:rsid w:val="00AC17A1"/>
    <w:rsid w:val="00AC2C77"/>
    <w:rsid w:val="00AC2FAE"/>
    <w:rsid w:val="00AC3516"/>
    <w:rsid w:val="00AC3C01"/>
    <w:rsid w:val="00AC3D63"/>
    <w:rsid w:val="00AC428F"/>
    <w:rsid w:val="00AC48BF"/>
    <w:rsid w:val="00AC4B58"/>
    <w:rsid w:val="00AC4BD2"/>
    <w:rsid w:val="00AC4DEC"/>
    <w:rsid w:val="00AC54FA"/>
    <w:rsid w:val="00AC6F6F"/>
    <w:rsid w:val="00AC7BCF"/>
    <w:rsid w:val="00AD0218"/>
    <w:rsid w:val="00AD045B"/>
    <w:rsid w:val="00AD04A9"/>
    <w:rsid w:val="00AD0A34"/>
    <w:rsid w:val="00AD0F81"/>
    <w:rsid w:val="00AD1F0D"/>
    <w:rsid w:val="00AD23F6"/>
    <w:rsid w:val="00AD2653"/>
    <w:rsid w:val="00AD3860"/>
    <w:rsid w:val="00AD3AE6"/>
    <w:rsid w:val="00AD3EA9"/>
    <w:rsid w:val="00AD3F44"/>
    <w:rsid w:val="00AD4554"/>
    <w:rsid w:val="00AD4650"/>
    <w:rsid w:val="00AD4C61"/>
    <w:rsid w:val="00AD5C75"/>
    <w:rsid w:val="00AD6328"/>
    <w:rsid w:val="00AD6386"/>
    <w:rsid w:val="00AD6418"/>
    <w:rsid w:val="00AD67CC"/>
    <w:rsid w:val="00AD6C8E"/>
    <w:rsid w:val="00AD6D84"/>
    <w:rsid w:val="00AD76BF"/>
    <w:rsid w:val="00AD7D0E"/>
    <w:rsid w:val="00AD7F95"/>
    <w:rsid w:val="00AE011F"/>
    <w:rsid w:val="00AE0453"/>
    <w:rsid w:val="00AE04B4"/>
    <w:rsid w:val="00AE0EC0"/>
    <w:rsid w:val="00AE0FE0"/>
    <w:rsid w:val="00AE0FE5"/>
    <w:rsid w:val="00AE1150"/>
    <w:rsid w:val="00AE173D"/>
    <w:rsid w:val="00AE19CC"/>
    <w:rsid w:val="00AE1E08"/>
    <w:rsid w:val="00AE248E"/>
    <w:rsid w:val="00AE27DE"/>
    <w:rsid w:val="00AE281E"/>
    <w:rsid w:val="00AE30EA"/>
    <w:rsid w:val="00AE3466"/>
    <w:rsid w:val="00AE37B0"/>
    <w:rsid w:val="00AE3976"/>
    <w:rsid w:val="00AE43DE"/>
    <w:rsid w:val="00AE4899"/>
    <w:rsid w:val="00AE4B91"/>
    <w:rsid w:val="00AE4FBD"/>
    <w:rsid w:val="00AE53D0"/>
    <w:rsid w:val="00AE5511"/>
    <w:rsid w:val="00AE7153"/>
    <w:rsid w:val="00AE7543"/>
    <w:rsid w:val="00AE79A6"/>
    <w:rsid w:val="00AF0680"/>
    <w:rsid w:val="00AF1546"/>
    <w:rsid w:val="00AF19E4"/>
    <w:rsid w:val="00AF1D63"/>
    <w:rsid w:val="00AF1F37"/>
    <w:rsid w:val="00AF253C"/>
    <w:rsid w:val="00AF2550"/>
    <w:rsid w:val="00AF2A67"/>
    <w:rsid w:val="00AF3367"/>
    <w:rsid w:val="00AF36FF"/>
    <w:rsid w:val="00AF3EB1"/>
    <w:rsid w:val="00AF4CF8"/>
    <w:rsid w:val="00AF54AE"/>
    <w:rsid w:val="00AF6300"/>
    <w:rsid w:val="00AF65DC"/>
    <w:rsid w:val="00AF6B80"/>
    <w:rsid w:val="00AF6D03"/>
    <w:rsid w:val="00AF7D59"/>
    <w:rsid w:val="00B00040"/>
    <w:rsid w:val="00B00C27"/>
    <w:rsid w:val="00B00D38"/>
    <w:rsid w:val="00B0134E"/>
    <w:rsid w:val="00B01C8E"/>
    <w:rsid w:val="00B02273"/>
    <w:rsid w:val="00B0253D"/>
    <w:rsid w:val="00B028FE"/>
    <w:rsid w:val="00B02E2C"/>
    <w:rsid w:val="00B02F34"/>
    <w:rsid w:val="00B030BE"/>
    <w:rsid w:val="00B0362C"/>
    <w:rsid w:val="00B04140"/>
    <w:rsid w:val="00B04321"/>
    <w:rsid w:val="00B04B09"/>
    <w:rsid w:val="00B04C42"/>
    <w:rsid w:val="00B0500B"/>
    <w:rsid w:val="00B05896"/>
    <w:rsid w:val="00B05941"/>
    <w:rsid w:val="00B06066"/>
    <w:rsid w:val="00B06D9E"/>
    <w:rsid w:val="00B07D02"/>
    <w:rsid w:val="00B07FCB"/>
    <w:rsid w:val="00B1001B"/>
    <w:rsid w:val="00B11170"/>
    <w:rsid w:val="00B11A9C"/>
    <w:rsid w:val="00B12BC4"/>
    <w:rsid w:val="00B13AF2"/>
    <w:rsid w:val="00B16902"/>
    <w:rsid w:val="00B16BAE"/>
    <w:rsid w:val="00B20AC4"/>
    <w:rsid w:val="00B20D86"/>
    <w:rsid w:val="00B21128"/>
    <w:rsid w:val="00B21563"/>
    <w:rsid w:val="00B21696"/>
    <w:rsid w:val="00B22B76"/>
    <w:rsid w:val="00B2322D"/>
    <w:rsid w:val="00B23789"/>
    <w:rsid w:val="00B23C3F"/>
    <w:rsid w:val="00B23ED4"/>
    <w:rsid w:val="00B23F80"/>
    <w:rsid w:val="00B240FE"/>
    <w:rsid w:val="00B24841"/>
    <w:rsid w:val="00B24EAD"/>
    <w:rsid w:val="00B252A9"/>
    <w:rsid w:val="00B2540E"/>
    <w:rsid w:val="00B257BC"/>
    <w:rsid w:val="00B258F8"/>
    <w:rsid w:val="00B25997"/>
    <w:rsid w:val="00B25F65"/>
    <w:rsid w:val="00B26324"/>
    <w:rsid w:val="00B2661A"/>
    <w:rsid w:val="00B26A12"/>
    <w:rsid w:val="00B26AED"/>
    <w:rsid w:val="00B271B2"/>
    <w:rsid w:val="00B2733D"/>
    <w:rsid w:val="00B276B6"/>
    <w:rsid w:val="00B279E2"/>
    <w:rsid w:val="00B27B21"/>
    <w:rsid w:val="00B30332"/>
    <w:rsid w:val="00B307D9"/>
    <w:rsid w:val="00B31022"/>
    <w:rsid w:val="00B31134"/>
    <w:rsid w:val="00B3125C"/>
    <w:rsid w:val="00B3127B"/>
    <w:rsid w:val="00B312A3"/>
    <w:rsid w:val="00B31774"/>
    <w:rsid w:val="00B31AD9"/>
    <w:rsid w:val="00B31B8B"/>
    <w:rsid w:val="00B31DD0"/>
    <w:rsid w:val="00B32A1A"/>
    <w:rsid w:val="00B3366D"/>
    <w:rsid w:val="00B3390B"/>
    <w:rsid w:val="00B341F9"/>
    <w:rsid w:val="00B34EE7"/>
    <w:rsid w:val="00B3505F"/>
    <w:rsid w:val="00B351A0"/>
    <w:rsid w:val="00B35C2D"/>
    <w:rsid w:val="00B36B47"/>
    <w:rsid w:val="00B373B9"/>
    <w:rsid w:val="00B377CB"/>
    <w:rsid w:val="00B40B67"/>
    <w:rsid w:val="00B4113D"/>
    <w:rsid w:val="00B4125E"/>
    <w:rsid w:val="00B414C3"/>
    <w:rsid w:val="00B41667"/>
    <w:rsid w:val="00B416C6"/>
    <w:rsid w:val="00B4203B"/>
    <w:rsid w:val="00B42357"/>
    <w:rsid w:val="00B4244F"/>
    <w:rsid w:val="00B42D60"/>
    <w:rsid w:val="00B436C6"/>
    <w:rsid w:val="00B43BD6"/>
    <w:rsid w:val="00B44533"/>
    <w:rsid w:val="00B445CC"/>
    <w:rsid w:val="00B44835"/>
    <w:rsid w:val="00B44F9B"/>
    <w:rsid w:val="00B45481"/>
    <w:rsid w:val="00B4563C"/>
    <w:rsid w:val="00B46D16"/>
    <w:rsid w:val="00B47303"/>
    <w:rsid w:val="00B47827"/>
    <w:rsid w:val="00B5000C"/>
    <w:rsid w:val="00B504D8"/>
    <w:rsid w:val="00B51906"/>
    <w:rsid w:val="00B525B5"/>
    <w:rsid w:val="00B5290C"/>
    <w:rsid w:val="00B52B61"/>
    <w:rsid w:val="00B52E77"/>
    <w:rsid w:val="00B5306C"/>
    <w:rsid w:val="00B5351A"/>
    <w:rsid w:val="00B53879"/>
    <w:rsid w:val="00B53891"/>
    <w:rsid w:val="00B538AE"/>
    <w:rsid w:val="00B53B89"/>
    <w:rsid w:val="00B53BB7"/>
    <w:rsid w:val="00B53CA1"/>
    <w:rsid w:val="00B5435E"/>
    <w:rsid w:val="00B54865"/>
    <w:rsid w:val="00B54E8E"/>
    <w:rsid w:val="00B554BD"/>
    <w:rsid w:val="00B5581D"/>
    <w:rsid w:val="00B55D50"/>
    <w:rsid w:val="00B55F15"/>
    <w:rsid w:val="00B5767B"/>
    <w:rsid w:val="00B60B83"/>
    <w:rsid w:val="00B62AFE"/>
    <w:rsid w:val="00B62C02"/>
    <w:rsid w:val="00B630A5"/>
    <w:rsid w:val="00B6344B"/>
    <w:rsid w:val="00B639C4"/>
    <w:rsid w:val="00B6466E"/>
    <w:rsid w:val="00B64777"/>
    <w:rsid w:val="00B6480D"/>
    <w:rsid w:val="00B64821"/>
    <w:rsid w:val="00B64A19"/>
    <w:rsid w:val="00B64B8C"/>
    <w:rsid w:val="00B64EBE"/>
    <w:rsid w:val="00B6549A"/>
    <w:rsid w:val="00B65880"/>
    <w:rsid w:val="00B658E7"/>
    <w:rsid w:val="00B65CBB"/>
    <w:rsid w:val="00B66079"/>
    <w:rsid w:val="00B66866"/>
    <w:rsid w:val="00B6701B"/>
    <w:rsid w:val="00B67590"/>
    <w:rsid w:val="00B67824"/>
    <w:rsid w:val="00B7073F"/>
    <w:rsid w:val="00B70BAB"/>
    <w:rsid w:val="00B71132"/>
    <w:rsid w:val="00B7114E"/>
    <w:rsid w:val="00B71210"/>
    <w:rsid w:val="00B7141B"/>
    <w:rsid w:val="00B714A6"/>
    <w:rsid w:val="00B71A1D"/>
    <w:rsid w:val="00B721D4"/>
    <w:rsid w:val="00B7274C"/>
    <w:rsid w:val="00B72B01"/>
    <w:rsid w:val="00B73380"/>
    <w:rsid w:val="00B734D1"/>
    <w:rsid w:val="00B73D43"/>
    <w:rsid w:val="00B74092"/>
    <w:rsid w:val="00B74151"/>
    <w:rsid w:val="00B74BA9"/>
    <w:rsid w:val="00B74DF0"/>
    <w:rsid w:val="00B751FA"/>
    <w:rsid w:val="00B756D1"/>
    <w:rsid w:val="00B75DAD"/>
    <w:rsid w:val="00B75EBA"/>
    <w:rsid w:val="00B76298"/>
    <w:rsid w:val="00B76530"/>
    <w:rsid w:val="00B76B55"/>
    <w:rsid w:val="00B773F4"/>
    <w:rsid w:val="00B803D0"/>
    <w:rsid w:val="00B80E92"/>
    <w:rsid w:val="00B81100"/>
    <w:rsid w:val="00B81E2A"/>
    <w:rsid w:val="00B82442"/>
    <w:rsid w:val="00B8280E"/>
    <w:rsid w:val="00B82EAB"/>
    <w:rsid w:val="00B835AF"/>
    <w:rsid w:val="00B83FD5"/>
    <w:rsid w:val="00B85DE8"/>
    <w:rsid w:val="00B85FB9"/>
    <w:rsid w:val="00B86CE1"/>
    <w:rsid w:val="00B86D66"/>
    <w:rsid w:val="00B874F5"/>
    <w:rsid w:val="00B87C27"/>
    <w:rsid w:val="00B90680"/>
    <w:rsid w:val="00B9078F"/>
    <w:rsid w:val="00B90F8D"/>
    <w:rsid w:val="00B910D4"/>
    <w:rsid w:val="00B913CF"/>
    <w:rsid w:val="00B918DF"/>
    <w:rsid w:val="00B91BEE"/>
    <w:rsid w:val="00B92252"/>
    <w:rsid w:val="00B93182"/>
    <w:rsid w:val="00B931B9"/>
    <w:rsid w:val="00B932F2"/>
    <w:rsid w:val="00B93848"/>
    <w:rsid w:val="00B93D90"/>
    <w:rsid w:val="00B940E7"/>
    <w:rsid w:val="00B94136"/>
    <w:rsid w:val="00B943C4"/>
    <w:rsid w:val="00B9458F"/>
    <w:rsid w:val="00B9459B"/>
    <w:rsid w:val="00B94864"/>
    <w:rsid w:val="00B9534E"/>
    <w:rsid w:val="00B9547E"/>
    <w:rsid w:val="00B956E2"/>
    <w:rsid w:val="00B95DD3"/>
    <w:rsid w:val="00B95E00"/>
    <w:rsid w:val="00B9629E"/>
    <w:rsid w:val="00B96450"/>
    <w:rsid w:val="00B964D9"/>
    <w:rsid w:val="00B966E5"/>
    <w:rsid w:val="00B96731"/>
    <w:rsid w:val="00B96D27"/>
    <w:rsid w:val="00B96D42"/>
    <w:rsid w:val="00B96EE8"/>
    <w:rsid w:val="00B971B2"/>
    <w:rsid w:val="00B97322"/>
    <w:rsid w:val="00BA00D0"/>
    <w:rsid w:val="00BA0B61"/>
    <w:rsid w:val="00BA176F"/>
    <w:rsid w:val="00BA1BD4"/>
    <w:rsid w:val="00BA1C9C"/>
    <w:rsid w:val="00BA2300"/>
    <w:rsid w:val="00BA2865"/>
    <w:rsid w:val="00BA2BA2"/>
    <w:rsid w:val="00BA300F"/>
    <w:rsid w:val="00BA3ADA"/>
    <w:rsid w:val="00BA3D2B"/>
    <w:rsid w:val="00BA402B"/>
    <w:rsid w:val="00BA40B2"/>
    <w:rsid w:val="00BA4230"/>
    <w:rsid w:val="00BA471D"/>
    <w:rsid w:val="00BA76A7"/>
    <w:rsid w:val="00BA790C"/>
    <w:rsid w:val="00BA7C98"/>
    <w:rsid w:val="00BB03D8"/>
    <w:rsid w:val="00BB0FE8"/>
    <w:rsid w:val="00BB1214"/>
    <w:rsid w:val="00BB19BF"/>
    <w:rsid w:val="00BB1A90"/>
    <w:rsid w:val="00BB1B8B"/>
    <w:rsid w:val="00BB26B4"/>
    <w:rsid w:val="00BB2A3C"/>
    <w:rsid w:val="00BB2C65"/>
    <w:rsid w:val="00BB3B44"/>
    <w:rsid w:val="00BB3B86"/>
    <w:rsid w:val="00BB3CC6"/>
    <w:rsid w:val="00BB4161"/>
    <w:rsid w:val="00BB55CF"/>
    <w:rsid w:val="00BB5784"/>
    <w:rsid w:val="00BB5911"/>
    <w:rsid w:val="00BB678E"/>
    <w:rsid w:val="00BB6794"/>
    <w:rsid w:val="00BB682A"/>
    <w:rsid w:val="00BB68AC"/>
    <w:rsid w:val="00BB7816"/>
    <w:rsid w:val="00BB7908"/>
    <w:rsid w:val="00BB7DDE"/>
    <w:rsid w:val="00BC0732"/>
    <w:rsid w:val="00BC09E8"/>
    <w:rsid w:val="00BC0DA9"/>
    <w:rsid w:val="00BC154B"/>
    <w:rsid w:val="00BC16A0"/>
    <w:rsid w:val="00BC2047"/>
    <w:rsid w:val="00BC2220"/>
    <w:rsid w:val="00BC2ABB"/>
    <w:rsid w:val="00BC306F"/>
    <w:rsid w:val="00BC42E2"/>
    <w:rsid w:val="00BC4942"/>
    <w:rsid w:val="00BC4F00"/>
    <w:rsid w:val="00BC512F"/>
    <w:rsid w:val="00BC5485"/>
    <w:rsid w:val="00BC5D84"/>
    <w:rsid w:val="00BC5E79"/>
    <w:rsid w:val="00BC6060"/>
    <w:rsid w:val="00BC6655"/>
    <w:rsid w:val="00BC6711"/>
    <w:rsid w:val="00BC6730"/>
    <w:rsid w:val="00BC6927"/>
    <w:rsid w:val="00BC695C"/>
    <w:rsid w:val="00BC6E34"/>
    <w:rsid w:val="00BC7766"/>
    <w:rsid w:val="00BD0672"/>
    <w:rsid w:val="00BD0829"/>
    <w:rsid w:val="00BD08EF"/>
    <w:rsid w:val="00BD0C9C"/>
    <w:rsid w:val="00BD1129"/>
    <w:rsid w:val="00BD1580"/>
    <w:rsid w:val="00BD1D4A"/>
    <w:rsid w:val="00BD2069"/>
    <w:rsid w:val="00BD22AB"/>
    <w:rsid w:val="00BD2B0D"/>
    <w:rsid w:val="00BD2B6D"/>
    <w:rsid w:val="00BD2C58"/>
    <w:rsid w:val="00BD4E15"/>
    <w:rsid w:val="00BD5019"/>
    <w:rsid w:val="00BD5354"/>
    <w:rsid w:val="00BD5430"/>
    <w:rsid w:val="00BD5D1E"/>
    <w:rsid w:val="00BD5E35"/>
    <w:rsid w:val="00BD671A"/>
    <w:rsid w:val="00BD750D"/>
    <w:rsid w:val="00BD75D5"/>
    <w:rsid w:val="00BE00F7"/>
    <w:rsid w:val="00BE016A"/>
    <w:rsid w:val="00BE02E2"/>
    <w:rsid w:val="00BE09F3"/>
    <w:rsid w:val="00BE0DD4"/>
    <w:rsid w:val="00BE12C5"/>
    <w:rsid w:val="00BE185A"/>
    <w:rsid w:val="00BE1A09"/>
    <w:rsid w:val="00BE1C0C"/>
    <w:rsid w:val="00BE1FCA"/>
    <w:rsid w:val="00BE22A2"/>
    <w:rsid w:val="00BE22FE"/>
    <w:rsid w:val="00BE446C"/>
    <w:rsid w:val="00BE463B"/>
    <w:rsid w:val="00BE46E4"/>
    <w:rsid w:val="00BE5DBE"/>
    <w:rsid w:val="00BE6481"/>
    <w:rsid w:val="00BE68C1"/>
    <w:rsid w:val="00BE72C1"/>
    <w:rsid w:val="00BE7788"/>
    <w:rsid w:val="00BE77AD"/>
    <w:rsid w:val="00BE7BC5"/>
    <w:rsid w:val="00BF0197"/>
    <w:rsid w:val="00BF04F7"/>
    <w:rsid w:val="00BF087A"/>
    <w:rsid w:val="00BF15C1"/>
    <w:rsid w:val="00BF1CC1"/>
    <w:rsid w:val="00BF2525"/>
    <w:rsid w:val="00BF2C7A"/>
    <w:rsid w:val="00BF2FCF"/>
    <w:rsid w:val="00BF30D5"/>
    <w:rsid w:val="00BF32F2"/>
    <w:rsid w:val="00BF40E6"/>
    <w:rsid w:val="00BF4268"/>
    <w:rsid w:val="00BF45F7"/>
    <w:rsid w:val="00BF4D84"/>
    <w:rsid w:val="00BF5CA9"/>
    <w:rsid w:val="00BF5D36"/>
    <w:rsid w:val="00BF6872"/>
    <w:rsid w:val="00BF6FB4"/>
    <w:rsid w:val="00BF7A55"/>
    <w:rsid w:val="00C00281"/>
    <w:rsid w:val="00C002CB"/>
    <w:rsid w:val="00C011F0"/>
    <w:rsid w:val="00C01A52"/>
    <w:rsid w:val="00C01BE0"/>
    <w:rsid w:val="00C01F80"/>
    <w:rsid w:val="00C020EC"/>
    <w:rsid w:val="00C02A87"/>
    <w:rsid w:val="00C03002"/>
    <w:rsid w:val="00C033FA"/>
    <w:rsid w:val="00C0341B"/>
    <w:rsid w:val="00C0357F"/>
    <w:rsid w:val="00C036A6"/>
    <w:rsid w:val="00C03DF0"/>
    <w:rsid w:val="00C04962"/>
    <w:rsid w:val="00C04C4F"/>
    <w:rsid w:val="00C0566F"/>
    <w:rsid w:val="00C06597"/>
    <w:rsid w:val="00C07458"/>
    <w:rsid w:val="00C078F3"/>
    <w:rsid w:val="00C07971"/>
    <w:rsid w:val="00C1076D"/>
    <w:rsid w:val="00C107F0"/>
    <w:rsid w:val="00C10DEE"/>
    <w:rsid w:val="00C10EFF"/>
    <w:rsid w:val="00C10F40"/>
    <w:rsid w:val="00C1107D"/>
    <w:rsid w:val="00C114C0"/>
    <w:rsid w:val="00C1173B"/>
    <w:rsid w:val="00C11894"/>
    <w:rsid w:val="00C11920"/>
    <w:rsid w:val="00C11D88"/>
    <w:rsid w:val="00C12429"/>
    <w:rsid w:val="00C1251A"/>
    <w:rsid w:val="00C12A3F"/>
    <w:rsid w:val="00C13387"/>
    <w:rsid w:val="00C13C13"/>
    <w:rsid w:val="00C13F12"/>
    <w:rsid w:val="00C14270"/>
    <w:rsid w:val="00C14FAB"/>
    <w:rsid w:val="00C156B2"/>
    <w:rsid w:val="00C15EBE"/>
    <w:rsid w:val="00C16B11"/>
    <w:rsid w:val="00C16B3C"/>
    <w:rsid w:val="00C16ECA"/>
    <w:rsid w:val="00C16F56"/>
    <w:rsid w:val="00C17227"/>
    <w:rsid w:val="00C17833"/>
    <w:rsid w:val="00C17B30"/>
    <w:rsid w:val="00C17C15"/>
    <w:rsid w:val="00C20311"/>
    <w:rsid w:val="00C20E76"/>
    <w:rsid w:val="00C21137"/>
    <w:rsid w:val="00C2205E"/>
    <w:rsid w:val="00C222A5"/>
    <w:rsid w:val="00C2258F"/>
    <w:rsid w:val="00C22EF6"/>
    <w:rsid w:val="00C23487"/>
    <w:rsid w:val="00C23600"/>
    <w:rsid w:val="00C23747"/>
    <w:rsid w:val="00C237F9"/>
    <w:rsid w:val="00C23991"/>
    <w:rsid w:val="00C23AEB"/>
    <w:rsid w:val="00C23B21"/>
    <w:rsid w:val="00C23E2B"/>
    <w:rsid w:val="00C24B4E"/>
    <w:rsid w:val="00C25032"/>
    <w:rsid w:val="00C25101"/>
    <w:rsid w:val="00C25B94"/>
    <w:rsid w:val="00C26475"/>
    <w:rsid w:val="00C267DD"/>
    <w:rsid w:val="00C270A3"/>
    <w:rsid w:val="00C271D8"/>
    <w:rsid w:val="00C308DA"/>
    <w:rsid w:val="00C32C96"/>
    <w:rsid w:val="00C34B02"/>
    <w:rsid w:val="00C34B08"/>
    <w:rsid w:val="00C35A9C"/>
    <w:rsid w:val="00C36B96"/>
    <w:rsid w:val="00C37179"/>
    <w:rsid w:val="00C374DC"/>
    <w:rsid w:val="00C377C2"/>
    <w:rsid w:val="00C377FD"/>
    <w:rsid w:val="00C4004D"/>
    <w:rsid w:val="00C403EE"/>
    <w:rsid w:val="00C40B2C"/>
    <w:rsid w:val="00C41071"/>
    <w:rsid w:val="00C41509"/>
    <w:rsid w:val="00C41907"/>
    <w:rsid w:val="00C42409"/>
    <w:rsid w:val="00C4451F"/>
    <w:rsid w:val="00C44776"/>
    <w:rsid w:val="00C4494A"/>
    <w:rsid w:val="00C45024"/>
    <w:rsid w:val="00C45C2A"/>
    <w:rsid w:val="00C45E8E"/>
    <w:rsid w:val="00C46453"/>
    <w:rsid w:val="00C46C96"/>
    <w:rsid w:val="00C47049"/>
    <w:rsid w:val="00C47785"/>
    <w:rsid w:val="00C47FEB"/>
    <w:rsid w:val="00C50154"/>
    <w:rsid w:val="00C5023A"/>
    <w:rsid w:val="00C502A7"/>
    <w:rsid w:val="00C5037B"/>
    <w:rsid w:val="00C508AE"/>
    <w:rsid w:val="00C50A21"/>
    <w:rsid w:val="00C50B56"/>
    <w:rsid w:val="00C50C57"/>
    <w:rsid w:val="00C50CCF"/>
    <w:rsid w:val="00C50D97"/>
    <w:rsid w:val="00C51C45"/>
    <w:rsid w:val="00C521D3"/>
    <w:rsid w:val="00C525CB"/>
    <w:rsid w:val="00C52BED"/>
    <w:rsid w:val="00C52D89"/>
    <w:rsid w:val="00C53E85"/>
    <w:rsid w:val="00C54040"/>
    <w:rsid w:val="00C5454B"/>
    <w:rsid w:val="00C54C15"/>
    <w:rsid w:val="00C55CED"/>
    <w:rsid w:val="00C56E34"/>
    <w:rsid w:val="00C5742F"/>
    <w:rsid w:val="00C57430"/>
    <w:rsid w:val="00C57AF8"/>
    <w:rsid w:val="00C57B5F"/>
    <w:rsid w:val="00C60A21"/>
    <w:rsid w:val="00C6133B"/>
    <w:rsid w:val="00C61AAE"/>
    <w:rsid w:val="00C61D28"/>
    <w:rsid w:val="00C6232F"/>
    <w:rsid w:val="00C62529"/>
    <w:rsid w:val="00C62902"/>
    <w:rsid w:val="00C62FBA"/>
    <w:rsid w:val="00C6377D"/>
    <w:rsid w:val="00C63A02"/>
    <w:rsid w:val="00C63EF2"/>
    <w:rsid w:val="00C63F6F"/>
    <w:rsid w:val="00C64C14"/>
    <w:rsid w:val="00C64E01"/>
    <w:rsid w:val="00C64FFC"/>
    <w:rsid w:val="00C657A3"/>
    <w:rsid w:val="00C66B3E"/>
    <w:rsid w:val="00C6785B"/>
    <w:rsid w:val="00C6794B"/>
    <w:rsid w:val="00C7079A"/>
    <w:rsid w:val="00C71098"/>
    <w:rsid w:val="00C71C9E"/>
    <w:rsid w:val="00C71F3E"/>
    <w:rsid w:val="00C72194"/>
    <w:rsid w:val="00C721EE"/>
    <w:rsid w:val="00C72688"/>
    <w:rsid w:val="00C73335"/>
    <w:rsid w:val="00C73833"/>
    <w:rsid w:val="00C74C23"/>
    <w:rsid w:val="00C75C0E"/>
    <w:rsid w:val="00C75C71"/>
    <w:rsid w:val="00C76121"/>
    <w:rsid w:val="00C767BD"/>
    <w:rsid w:val="00C7696D"/>
    <w:rsid w:val="00C77597"/>
    <w:rsid w:val="00C775A8"/>
    <w:rsid w:val="00C77B96"/>
    <w:rsid w:val="00C77C71"/>
    <w:rsid w:val="00C77E9F"/>
    <w:rsid w:val="00C8069F"/>
    <w:rsid w:val="00C8282F"/>
    <w:rsid w:val="00C82C28"/>
    <w:rsid w:val="00C82D42"/>
    <w:rsid w:val="00C82FFE"/>
    <w:rsid w:val="00C832BB"/>
    <w:rsid w:val="00C8338C"/>
    <w:rsid w:val="00C8348C"/>
    <w:rsid w:val="00C83CBC"/>
    <w:rsid w:val="00C842E2"/>
    <w:rsid w:val="00C8436C"/>
    <w:rsid w:val="00C85238"/>
    <w:rsid w:val="00C85377"/>
    <w:rsid w:val="00C855CB"/>
    <w:rsid w:val="00C856E0"/>
    <w:rsid w:val="00C85810"/>
    <w:rsid w:val="00C8659E"/>
    <w:rsid w:val="00C874B6"/>
    <w:rsid w:val="00C8757A"/>
    <w:rsid w:val="00C914E6"/>
    <w:rsid w:val="00C9186E"/>
    <w:rsid w:val="00C91E86"/>
    <w:rsid w:val="00C92541"/>
    <w:rsid w:val="00C92620"/>
    <w:rsid w:val="00C92B21"/>
    <w:rsid w:val="00C92D63"/>
    <w:rsid w:val="00C92F29"/>
    <w:rsid w:val="00C933A1"/>
    <w:rsid w:val="00C936CF"/>
    <w:rsid w:val="00C9390F"/>
    <w:rsid w:val="00C939AE"/>
    <w:rsid w:val="00C93D07"/>
    <w:rsid w:val="00C93E89"/>
    <w:rsid w:val="00C93FA6"/>
    <w:rsid w:val="00C940E1"/>
    <w:rsid w:val="00C940EA"/>
    <w:rsid w:val="00C94228"/>
    <w:rsid w:val="00C9460F"/>
    <w:rsid w:val="00C9527B"/>
    <w:rsid w:val="00C95687"/>
    <w:rsid w:val="00C96A8E"/>
    <w:rsid w:val="00C97376"/>
    <w:rsid w:val="00C973FE"/>
    <w:rsid w:val="00CA0805"/>
    <w:rsid w:val="00CA0FA6"/>
    <w:rsid w:val="00CA0FAB"/>
    <w:rsid w:val="00CA10E4"/>
    <w:rsid w:val="00CA13BD"/>
    <w:rsid w:val="00CA1472"/>
    <w:rsid w:val="00CA1961"/>
    <w:rsid w:val="00CA1EA3"/>
    <w:rsid w:val="00CA2D21"/>
    <w:rsid w:val="00CA2E60"/>
    <w:rsid w:val="00CA3319"/>
    <w:rsid w:val="00CA35E1"/>
    <w:rsid w:val="00CA3732"/>
    <w:rsid w:val="00CA382D"/>
    <w:rsid w:val="00CA4311"/>
    <w:rsid w:val="00CA46B7"/>
    <w:rsid w:val="00CA4981"/>
    <w:rsid w:val="00CA5205"/>
    <w:rsid w:val="00CA5320"/>
    <w:rsid w:val="00CA5DD4"/>
    <w:rsid w:val="00CA6613"/>
    <w:rsid w:val="00CA6CBF"/>
    <w:rsid w:val="00CA6E0E"/>
    <w:rsid w:val="00CA6EF1"/>
    <w:rsid w:val="00CB0074"/>
    <w:rsid w:val="00CB05B4"/>
    <w:rsid w:val="00CB0EE6"/>
    <w:rsid w:val="00CB1FC1"/>
    <w:rsid w:val="00CB2211"/>
    <w:rsid w:val="00CB222F"/>
    <w:rsid w:val="00CB262E"/>
    <w:rsid w:val="00CB266D"/>
    <w:rsid w:val="00CB2C3D"/>
    <w:rsid w:val="00CB2E7C"/>
    <w:rsid w:val="00CB3171"/>
    <w:rsid w:val="00CB3DEA"/>
    <w:rsid w:val="00CB3F33"/>
    <w:rsid w:val="00CB419B"/>
    <w:rsid w:val="00CB4C7D"/>
    <w:rsid w:val="00CB57D8"/>
    <w:rsid w:val="00CB6945"/>
    <w:rsid w:val="00CB6BAB"/>
    <w:rsid w:val="00CB6BCB"/>
    <w:rsid w:val="00CB72D2"/>
    <w:rsid w:val="00CB7A41"/>
    <w:rsid w:val="00CB7A86"/>
    <w:rsid w:val="00CC0144"/>
    <w:rsid w:val="00CC01BB"/>
    <w:rsid w:val="00CC088B"/>
    <w:rsid w:val="00CC08EE"/>
    <w:rsid w:val="00CC0DD8"/>
    <w:rsid w:val="00CC1650"/>
    <w:rsid w:val="00CC1A07"/>
    <w:rsid w:val="00CC2118"/>
    <w:rsid w:val="00CC2491"/>
    <w:rsid w:val="00CC2F62"/>
    <w:rsid w:val="00CC369C"/>
    <w:rsid w:val="00CC36A5"/>
    <w:rsid w:val="00CC3778"/>
    <w:rsid w:val="00CC392F"/>
    <w:rsid w:val="00CC3BD1"/>
    <w:rsid w:val="00CC3DC6"/>
    <w:rsid w:val="00CC4193"/>
    <w:rsid w:val="00CC4433"/>
    <w:rsid w:val="00CC4453"/>
    <w:rsid w:val="00CC4CBD"/>
    <w:rsid w:val="00CC4FBC"/>
    <w:rsid w:val="00CC5527"/>
    <w:rsid w:val="00CC5534"/>
    <w:rsid w:val="00CC5544"/>
    <w:rsid w:val="00CC57D5"/>
    <w:rsid w:val="00CC604D"/>
    <w:rsid w:val="00CC67E3"/>
    <w:rsid w:val="00CC6973"/>
    <w:rsid w:val="00CC7256"/>
    <w:rsid w:val="00CC7691"/>
    <w:rsid w:val="00CD0421"/>
    <w:rsid w:val="00CD199E"/>
    <w:rsid w:val="00CD3353"/>
    <w:rsid w:val="00CD3BC9"/>
    <w:rsid w:val="00CD4C1A"/>
    <w:rsid w:val="00CD4F24"/>
    <w:rsid w:val="00CD4FF7"/>
    <w:rsid w:val="00CD50E2"/>
    <w:rsid w:val="00CD5546"/>
    <w:rsid w:val="00CD5740"/>
    <w:rsid w:val="00CD5900"/>
    <w:rsid w:val="00CD5FD3"/>
    <w:rsid w:val="00CD6304"/>
    <w:rsid w:val="00CD67E0"/>
    <w:rsid w:val="00CD697C"/>
    <w:rsid w:val="00CD6D2E"/>
    <w:rsid w:val="00CD76CD"/>
    <w:rsid w:val="00CD7899"/>
    <w:rsid w:val="00CD7C2A"/>
    <w:rsid w:val="00CE0116"/>
    <w:rsid w:val="00CE0216"/>
    <w:rsid w:val="00CE0710"/>
    <w:rsid w:val="00CE0BBC"/>
    <w:rsid w:val="00CE10FB"/>
    <w:rsid w:val="00CE11A0"/>
    <w:rsid w:val="00CE11FD"/>
    <w:rsid w:val="00CE1335"/>
    <w:rsid w:val="00CE1C39"/>
    <w:rsid w:val="00CE211C"/>
    <w:rsid w:val="00CE22DA"/>
    <w:rsid w:val="00CE26D1"/>
    <w:rsid w:val="00CE2C41"/>
    <w:rsid w:val="00CE2FBE"/>
    <w:rsid w:val="00CE33C5"/>
    <w:rsid w:val="00CE347F"/>
    <w:rsid w:val="00CE3D07"/>
    <w:rsid w:val="00CE457C"/>
    <w:rsid w:val="00CE48B7"/>
    <w:rsid w:val="00CE4A58"/>
    <w:rsid w:val="00CE5193"/>
    <w:rsid w:val="00CE53A7"/>
    <w:rsid w:val="00CE54BF"/>
    <w:rsid w:val="00CE5991"/>
    <w:rsid w:val="00CE5AE1"/>
    <w:rsid w:val="00CE64CE"/>
    <w:rsid w:val="00CE7433"/>
    <w:rsid w:val="00CE761D"/>
    <w:rsid w:val="00CE7CF7"/>
    <w:rsid w:val="00CE7F59"/>
    <w:rsid w:val="00CF0238"/>
    <w:rsid w:val="00CF0756"/>
    <w:rsid w:val="00CF0A86"/>
    <w:rsid w:val="00CF1E05"/>
    <w:rsid w:val="00CF219D"/>
    <w:rsid w:val="00CF246F"/>
    <w:rsid w:val="00CF2737"/>
    <w:rsid w:val="00CF2AB9"/>
    <w:rsid w:val="00CF35D6"/>
    <w:rsid w:val="00CF4CAE"/>
    <w:rsid w:val="00CF4F27"/>
    <w:rsid w:val="00CF4FB5"/>
    <w:rsid w:val="00CF5512"/>
    <w:rsid w:val="00CF55C2"/>
    <w:rsid w:val="00CF5C38"/>
    <w:rsid w:val="00CF62E5"/>
    <w:rsid w:val="00CF63F3"/>
    <w:rsid w:val="00CF6709"/>
    <w:rsid w:val="00CF691C"/>
    <w:rsid w:val="00CF7A0E"/>
    <w:rsid w:val="00D00BE9"/>
    <w:rsid w:val="00D00F5E"/>
    <w:rsid w:val="00D013CC"/>
    <w:rsid w:val="00D01988"/>
    <w:rsid w:val="00D01ADD"/>
    <w:rsid w:val="00D01C82"/>
    <w:rsid w:val="00D01DC7"/>
    <w:rsid w:val="00D01FC3"/>
    <w:rsid w:val="00D021B3"/>
    <w:rsid w:val="00D032E5"/>
    <w:rsid w:val="00D033F3"/>
    <w:rsid w:val="00D03B0B"/>
    <w:rsid w:val="00D03E41"/>
    <w:rsid w:val="00D04616"/>
    <w:rsid w:val="00D04B45"/>
    <w:rsid w:val="00D053C8"/>
    <w:rsid w:val="00D0552C"/>
    <w:rsid w:val="00D05D20"/>
    <w:rsid w:val="00D064AB"/>
    <w:rsid w:val="00D0651F"/>
    <w:rsid w:val="00D06BF9"/>
    <w:rsid w:val="00D06FBF"/>
    <w:rsid w:val="00D07453"/>
    <w:rsid w:val="00D07529"/>
    <w:rsid w:val="00D07861"/>
    <w:rsid w:val="00D102FB"/>
    <w:rsid w:val="00D1072B"/>
    <w:rsid w:val="00D10918"/>
    <w:rsid w:val="00D1169E"/>
    <w:rsid w:val="00D1184F"/>
    <w:rsid w:val="00D12EF4"/>
    <w:rsid w:val="00D13391"/>
    <w:rsid w:val="00D133ED"/>
    <w:rsid w:val="00D13D56"/>
    <w:rsid w:val="00D1424E"/>
    <w:rsid w:val="00D142CB"/>
    <w:rsid w:val="00D145DD"/>
    <w:rsid w:val="00D14B6A"/>
    <w:rsid w:val="00D15253"/>
    <w:rsid w:val="00D152E0"/>
    <w:rsid w:val="00D162E1"/>
    <w:rsid w:val="00D1664C"/>
    <w:rsid w:val="00D178A7"/>
    <w:rsid w:val="00D178F4"/>
    <w:rsid w:val="00D17CA2"/>
    <w:rsid w:val="00D20522"/>
    <w:rsid w:val="00D20E7F"/>
    <w:rsid w:val="00D20EBA"/>
    <w:rsid w:val="00D211AD"/>
    <w:rsid w:val="00D21E83"/>
    <w:rsid w:val="00D21E98"/>
    <w:rsid w:val="00D2220B"/>
    <w:rsid w:val="00D22238"/>
    <w:rsid w:val="00D22651"/>
    <w:rsid w:val="00D227A0"/>
    <w:rsid w:val="00D227BC"/>
    <w:rsid w:val="00D22AC0"/>
    <w:rsid w:val="00D22AF2"/>
    <w:rsid w:val="00D2349E"/>
    <w:rsid w:val="00D2351A"/>
    <w:rsid w:val="00D240B7"/>
    <w:rsid w:val="00D24D38"/>
    <w:rsid w:val="00D24E06"/>
    <w:rsid w:val="00D25142"/>
    <w:rsid w:val="00D256C1"/>
    <w:rsid w:val="00D256DC"/>
    <w:rsid w:val="00D25A6A"/>
    <w:rsid w:val="00D26143"/>
    <w:rsid w:val="00D26BDB"/>
    <w:rsid w:val="00D30466"/>
    <w:rsid w:val="00D30E23"/>
    <w:rsid w:val="00D30F88"/>
    <w:rsid w:val="00D31A19"/>
    <w:rsid w:val="00D3211F"/>
    <w:rsid w:val="00D32361"/>
    <w:rsid w:val="00D327D2"/>
    <w:rsid w:val="00D3299D"/>
    <w:rsid w:val="00D32D8F"/>
    <w:rsid w:val="00D34534"/>
    <w:rsid w:val="00D34589"/>
    <w:rsid w:val="00D3480A"/>
    <w:rsid w:val="00D34C7E"/>
    <w:rsid w:val="00D35022"/>
    <w:rsid w:val="00D3528D"/>
    <w:rsid w:val="00D36000"/>
    <w:rsid w:val="00D36D0D"/>
    <w:rsid w:val="00D370C4"/>
    <w:rsid w:val="00D3771B"/>
    <w:rsid w:val="00D378DB"/>
    <w:rsid w:val="00D37ED1"/>
    <w:rsid w:val="00D4023F"/>
    <w:rsid w:val="00D40E16"/>
    <w:rsid w:val="00D40E63"/>
    <w:rsid w:val="00D40FBF"/>
    <w:rsid w:val="00D410EE"/>
    <w:rsid w:val="00D4164F"/>
    <w:rsid w:val="00D4222C"/>
    <w:rsid w:val="00D42491"/>
    <w:rsid w:val="00D42BC2"/>
    <w:rsid w:val="00D42D4F"/>
    <w:rsid w:val="00D42FF1"/>
    <w:rsid w:val="00D43A6B"/>
    <w:rsid w:val="00D43B17"/>
    <w:rsid w:val="00D447DB"/>
    <w:rsid w:val="00D44C2C"/>
    <w:rsid w:val="00D457B2"/>
    <w:rsid w:val="00D457EC"/>
    <w:rsid w:val="00D46209"/>
    <w:rsid w:val="00D46526"/>
    <w:rsid w:val="00D47988"/>
    <w:rsid w:val="00D47FE3"/>
    <w:rsid w:val="00D5028A"/>
    <w:rsid w:val="00D50340"/>
    <w:rsid w:val="00D50BF3"/>
    <w:rsid w:val="00D5176F"/>
    <w:rsid w:val="00D51773"/>
    <w:rsid w:val="00D52507"/>
    <w:rsid w:val="00D52774"/>
    <w:rsid w:val="00D52D34"/>
    <w:rsid w:val="00D53FB0"/>
    <w:rsid w:val="00D54689"/>
    <w:rsid w:val="00D54BB9"/>
    <w:rsid w:val="00D54C98"/>
    <w:rsid w:val="00D54F79"/>
    <w:rsid w:val="00D54F99"/>
    <w:rsid w:val="00D55500"/>
    <w:rsid w:val="00D55BF8"/>
    <w:rsid w:val="00D55E62"/>
    <w:rsid w:val="00D567FA"/>
    <w:rsid w:val="00D5687E"/>
    <w:rsid w:val="00D56936"/>
    <w:rsid w:val="00D57224"/>
    <w:rsid w:val="00D574B2"/>
    <w:rsid w:val="00D57D14"/>
    <w:rsid w:val="00D57E8C"/>
    <w:rsid w:val="00D602D1"/>
    <w:rsid w:val="00D607A8"/>
    <w:rsid w:val="00D60ADE"/>
    <w:rsid w:val="00D6125B"/>
    <w:rsid w:val="00D6140E"/>
    <w:rsid w:val="00D61757"/>
    <w:rsid w:val="00D61B67"/>
    <w:rsid w:val="00D6239D"/>
    <w:rsid w:val="00D62B60"/>
    <w:rsid w:val="00D62D38"/>
    <w:rsid w:val="00D62EFC"/>
    <w:rsid w:val="00D6306A"/>
    <w:rsid w:val="00D64C11"/>
    <w:rsid w:val="00D64C19"/>
    <w:rsid w:val="00D64E5F"/>
    <w:rsid w:val="00D64F89"/>
    <w:rsid w:val="00D653E1"/>
    <w:rsid w:val="00D65AE0"/>
    <w:rsid w:val="00D66E66"/>
    <w:rsid w:val="00D67136"/>
    <w:rsid w:val="00D67CFD"/>
    <w:rsid w:val="00D67F92"/>
    <w:rsid w:val="00D700E0"/>
    <w:rsid w:val="00D70FD3"/>
    <w:rsid w:val="00D71066"/>
    <w:rsid w:val="00D71796"/>
    <w:rsid w:val="00D71B68"/>
    <w:rsid w:val="00D72039"/>
    <w:rsid w:val="00D725B2"/>
    <w:rsid w:val="00D7299C"/>
    <w:rsid w:val="00D72B24"/>
    <w:rsid w:val="00D72BDB"/>
    <w:rsid w:val="00D72FAC"/>
    <w:rsid w:val="00D732F8"/>
    <w:rsid w:val="00D735AD"/>
    <w:rsid w:val="00D73863"/>
    <w:rsid w:val="00D738EC"/>
    <w:rsid w:val="00D738EF"/>
    <w:rsid w:val="00D73E46"/>
    <w:rsid w:val="00D740D7"/>
    <w:rsid w:val="00D74163"/>
    <w:rsid w:val="00D74CF6"/>
    <w:rsid w:val="00D769A1"/>
    <w:rsid w:val="00D76A2E"/>
    <w:rsid w:val="00D76BE2"/>
    <w:rsid w:val="00D76DBC"/>
    <w:rsid w:val="00D772CB"/>
    <w:rsid w:val="00D772FC"/>
    <w:rsid w:val="00D77CA7"/>
    <w:rsid w:val="00D8033A"/>
    <w:rsid w:val="00D80A36"/>
    <w:rsid w:val="00D80CFD"/>
    <w:rsid w:val="00D80D21"/>
    <w:rsid w:val="00D80DEF"/>
    <w:rsid w:val="00D818ED"/>
    <w:rsid w:val="00D8194F"/>
    <w:rsid w:val="00D819D3"/>
    <w:rsid w:val="00D81EE3"/>
    <w:rsid w:val="00D82E27"/>
    <w:rsid w:val="00D8303A"/>
    <w:rsid w:val="00D83CA5"/>
    <w:rsid w:val="00D83F40"/>
    <w:rsid w:val="00D83F42"/>
    <w:rsid w:val="00D84E31"/>
    <w:rsid w:val="00D85040"/>
    <w:rsid w:val="00D8522A"/>
    <w:rsid w:val="00D85293"/>
    <w:rsid w:val="00D8670F"/>
    <w:rsid w:val="00D86A7E"/>
    <w:rsid w:val="00D86B9F"/>
    <w:rsid w:val="00D86E32"/>
    <w:rsid w:val="00D8742D"/>
    <w:rsid w:val="00D87512"/>
    <w:rsid w:val="00D87558"/>
    <w:rsid w:val="00D8756A"/>
    <w:rsid w:val="00D9034B"/>
    <w:rsid w:val="00D90722"/>
    <w:rsid w:val="00D90767"/>
    <w:rsid w:val="00D90838"/>
    <w:rsid w:val="00D90CE5"/>
    <w:rsid w:val="00D9183F"/>
    <w:rsid w:val="00D91AC3"/>
    <w:rsid w:val="00D92AD9"/>
    <w:rsid w:val="00D92BFF"/>
    <w:rsid w:val="00D9381E"/>
    <w:rsid w:val="00D93E8B"/>
    <w:rsid w:val="00D9495A"/>
    <w:rsid w:val="00D94A41"/>
    <w:rsid w:val="00D95697"/>
    <w:rsid w:val="00D95B51"/>
    <w:rsid w:val="00D9696C"/>
    <w:rsid w:val="00D96B4D"/>
    <w:rsid w:val="00D96D6F"/>
    <w:rsid w:val="00D96F39"/>
    <w:rsid w:val="00D96F4B"/>
    <w:rsid w:val="00D972CC"/>
    <w:rsid w:val="00D97661"/>
    <w:rsid w:val="00D978AA"/>
    <w:rsid w:val="00D97B3B"/>
    <w:rsid w:val="00DA006B"/>
    <w:rsid w:val="00DA0E76"/>
    <w:rsid w:val="00DA0E84"/>
    <w:rsid w:val="00DA1316"/>
    <w:rsid w:val="00DA1D10"/>
    <w:rsid w:val="00DA1D62"/>
    <w:rsid w:val="00DA310A"/>
    <w:rsid w:val="00DA3634"/>
    <w:rsid w:val="00DA39CB"/>
    <w:rsid w:val="00DA3C0A"/>
    <w:rsid w:val="00DA57A8"/>
    <w:rsid w:val="00DA588E"/>
    <w:rsid w:val="00DA64FB"/>
    <w:rsid w:val="00DA665F"/>
    <w:rsid w:val="00DA6ADE"/>
    <w:rsid w:val="00DA6BCD"/>
    <w:rsid w:val="00DA72BA"/>
    <w:rsid w:val="00DA7D1E"/>
    <w:rsid w:val="00DA7D91"/>
    <w:rsid w:val="00DA7DED"/>
    <w:rsid w:val="00DB02B7"/>
    <w:rsid w:val="00DB0333"/>
    <w:rsid w:val="00DB08A0"/>
    <w:rsid w:val="00DB0925"/>
    <w:rsid w:val="00DB0A43"/>
    <w:rsid w:val="00DB0A7A"/>
    <w:rsid w:val="00DB1217"/>
    <w:rsid w:val="00DB15AE"/>
    <w:rsid w:val="00DB1721"/>
    <w:rsid w:val="00DB244F"/>
    <w:rsid w:val="00DB3A65"/>
    <w:rsid w:val="00DB3C98"/>
    <w:rsid w:val="00DB4883"/>
    <w:rsid w:val="00DB4CDD"/>
    <w:rsid w:val="00DB56F1"/>
    <w:rsid w:val="00DB5CF8"/>
    <w:rsid w:val="00DB6052"/>
    <w:rsid w:val="00DB62DA"/>
    <w:rsid w:val="00DB6F2E"/>
    <w:rsid w:val="00DB7BC5"/>
    <w:rsid w:val="00DB7FC1"/>
    <w:rsid w:val="00DC3665"/>
    <w:rsid w:val="00DC379F"/>
    <w:rsid w:val="00DC42CD"/>
    <w:rsid w:val="00DC465C"/>
    <w:rsid w:val="00DC5B3D"/>
    <w:rsid w:val="00DC5B46"/>
    <w:rsid w:val="00DC5C3F"/>
    <w:rsid w:val="00DC6052"/>
    <w:rsid w:val="00DC62D8"/>
    <w:rsid w:val="00DC6CCA"/>
    <w:rsid w:val="00DC7275"/>
    <w:rsid w:val="00DC7906"/>
    <w:rsid w:val="00DC7C62"/>
    <w:rsid w:val="00DC7CDB"/>
    <w:rsid w:val="00DD016B"/>
    <w:rsid w:val="00DD045A"/>
    <w:rsid w:val="00DD0A97"/>
    <w:rsid w:val="00DD0FD9"/>
    <w:rsid w:val="00DD1A0C"/>
    <w:rsid w:val="00DD1BF0"/>
    <w:rsid w:val="00DD20E0"/>
    <w:rsid w:val="00DD210B"/>
    <w:rsid w:val="00DD250A"/>
    <w:rsid w:val="00DD255D"/>
    <w:rsid w:val="00DD2665"/>
    <w:rsid w:val="00DD293D"/>
    <w:rsid w:val="00DD362E"/>
    <w:rsid w:val="00DD3B8D"/>
    <w:rsid w:val="00DD3D01"/>
    <w:rsid w:val="00DD3EE7"/>
    <w:rsid w:val="00DD3FAA"/>
    <w:rsid w:val="00DD4A23"/>
    <w:rsid w:val="00DD51EC"/>
    <w:rsid w:val="00DD5AB7"/>
    <w:rsid w:val="00DD5DFD"/>
    <w:rsid w:val="00DD6A83"/>
    <w:rsid w:val="00DD748A"/>
    <w:rsid w:val="00DD7F6A"/>
    <w:rsid w:val="00DE018B"/>
    <w:rsid w:val="00DE06D9"/>
    <w:rsid w:val="00DE0CE1"/>
    <w:rsid w:val="00DE1F62"/>
    <w:rsid w:val="00DE2300"/>
    <w:rsid w:val="00DE25BB"/>
    <w:rsid w:val="00DE2A31"/>
    <w:rsid w:val="00DE2D43"/>
    <w:rsid w:val="00DE2DB9"/>
    <w:rsid w:val="00DE2DBE"/>
    <w:rsid w:val="00DE3373"/>
    <w:rsid w:val="00DE3F67"/>
    <w:rsid w:val="00DE4160"/>
    <w:rsid w:val="00DE4C8D"/>
    <w:rsid w:val="00DE577D"/>
    <w:rsid w:val="00DE596B"/>
    <w:rsid w:val="00DE5BFA"/>
    <w:rsid w:val="00DE5C31"/>
    <w:rsid w:val="00DE5DBF"/>
    <w:rsid w:val="00DE6210"/>
    <w:rsid w:val="00DE73AA"/>
    <w:rsid w:val="00DE77B9"/>
    <w:rsid w:val="00DE7A93"/>
    <w:rsid w:val="00DF01F2"/>
    <w:rsid w:val="00DF0813"/>
    <w:rsid w:val="00DF081E"/>
    <w:rsid w:val="00DF0DB5"/>
    <w:rsid w:val="00DF1252"/>
    <w:rsid w:val="00DF148B"/>
    <w:rsid w:val="00DF1D14"/>
    <w:rsid w:val="00DF25C2"/>
    <w:rsid w:val="00DF341F"/>
    <w:rsid w:val="00DF3600"/>
    <w:rsid w:val="00DF3934"/>
    <w:rsid w:val="00DF3AA6"/>
    <w:rsid w:val="00DF3F99"/>
    <w:rsid w:val="00DF415B"/>
    <w:rsid w:val="00DF4827"/>
    <w:rsid w:val="00DF49D7"/>
    <w:rsid w:val="00DF4A9F"/>
    <w:rsid w:val="00DF51D3"/>
    <w:rsid w:val="00DF573E"/>
    <w:rsid w:val="00DF5F93"/>
    <w:rsid w:val="00DF63F5"/>
    <w:rsid w:val="00DF6A0F"/>
    <w:rsid w:val="00DF6D71"/>
    <w:rsid w:val="00DF7130"/>
    <w:rsid w:val="00DF7495"/>
    <w:rsid w:val="00DF7665"/>
    <w:rsid w:val="00DF7C57"/>
    <w:rsid w:val="00DF7C8C"/>
    <w:rsid w:val="00E00029"/>
    <w:rsid w:val="00E003DB"/>
    <w:rsid w:val="00E01C71"/>
    <w:rsid w:val="00E01F41"/>
    <w:rsid w:val="00E023FF"/>
    <w:rsid w:val="00E03B36"/>
    <w:rsid w:val="00E03D14"/>
    <w:rsid w:val="00E052D7"/>
    <w:rsid w:val="00E05346"/>
    <w:rsid w:val="00E05EC9"/>
    <w:rsid w:val="00E06884"/>
    <w:rsid w:val="00E068AA"/>
    <w:rsid w:val="00E06A49"/>
    <w:rsid w:val="00E06B66"/>
    <w:rsid w:val="00E06F4A"/>
    <w:rsid w:val="00E1012B"/>
    <w:rsid w:val="00E101DF"/>
    <w:rsid w:val="00E107BF"/>
    <w:rsid w:val="00E1180D"/>
    <w:rsid w:val="00E11ABD"/>
    <w:rsid w:val="00E121AD"/>
    <w:rsid w:val="00E125E8"/>
    <w:rsid w:val="00E12647"/>
    <w:rsid w:val="00E12D0F"/>
    <w:rsid w:val="00E12E6E"/>
    <w:rsid w:val="00E13238"/>
    <w:rsid w:val="00E1337D"/>
    <w:rsid w:val="00E13DA8"/>
    <w:rsid w:val="00E151E1"/>
    <w:rsid w:val="00E158D8"/>
    <w:rsid w:val="00E1596C"/>
    <w:rsid w:val="00E16082"/>
    <w:rsid w:val="00E162B9"/>
    <w:rsid w:val="00E17334"/>
    <w:rsid w:val="00E179DB"/>
    <w:rsid w:val="00E20278"/>
    <w:rsid w:val="00E2104F"/>
    <w:rsid w:val="00E21D36"/>
    <w:rsid w:val="00E2212B"/>
    <w:rsid w:val="00E22496"/>
    <w:rsid w:val="00E226C3"/>
    <w:rsid w:val="00E22E77"/>
    <w:rsid w:val="00E2392B"/>
    <w:rsid w:val="00E2460F"/>
    <w:rsid w:val="00E247B2"/>
    <w:rsid w:val="00E2492F"/>
    <w:rsid w:val="00E24AD0"/>
    <w:rsid w:val="00E25335"/>
    <w:rsid w:val="00E25E0F"/>
    <w:rsid w:val="00E25E5C"/>
    <w:rsid w:val="00E2612D"/>
    <w:rsid w:val="00E268A8"/>
    <w:rsid w:val="00E27040"/>
    <w:rsid w:val="00E2708B"/>
    <w:rsid w:val="00E273FE"/>
    <w:rsid w:val="00E2784F"/>
    <w:rsid w:val="00E278A0"/>
    <w:rsid w:val="00E2796F"/>
    <w:rsid w:val="00E27BEE"/>
    <w:rsid w:val="00E308FA"/>
    <w:rsid w:val="00E3109A"/>
    <w:rsid w:val="00E3143D"/>
    <w:rsid w:val="00E31CBB"/>
    <w:rsid w:val="00E322F8"/>
    <w:rsid w:val="00E329C4"/>
    <w:rsid w:val="00E34268"/>
    <w:rsid w:val="00E343BE"/>
    <w:rsid w:val="00E34E09"/>
    <w:rsid w:val="00E352A0"/>
    <w:rsid w:val="00E3554D"/>
    <w:rsid w:val="00E3596D"/>
    <w:rsid w:val="00E360DE"/>
    <w:rsid w:val="00E36822"/>
    <w:rsid w:val="00E36DB7"/>
    <w:rsid w:val="00E40D0D"/>
    <w:rsid w:val="00E40EFD"/>
    <w:rsid w:val="00E40F5C"/>
    <w:rsid w:val="00E412C1"/>
    <w:rsid w:val="00E41975"/>
    <w:rsid w:val="00E41C4D"/>
    <w:rsid w:val="00E41D59"/>
    <w:rsid w:val="00E41DD2"/>
    <w:rsid w:val="00E41DD4"/>
    <w:rsid w:val="00E41EDE"/>
    <w:rsid w:val="00E42BCD"/>
    <w:rsid w:val="00E434CA"/>
    <w:rsid w:val="00E43CF7"/>
    <w:rsid w:val="00E4517E"/>
    <w:rsid w:val="00E452FC"/>
    <w:rsid w:val="00E463DD"/>
    <w:rsid w:val="00E473E0"/>
    <w:rsid w:val="00E47442"/>
    <w:rsid w:val="00E47C4C"/>
    <w:rsid w:val="00E47D7A"/>
    <w:rsid w:val="00E50491"/>
    <w:rsid w:val="00E50F39"/>
    <w:rsid w:val="00E511F5"/>
    <w:rsid w:val="00E5150A"/>
    <w:rsid w:val="00E51868"/>
    <w:rsid w:val="00E51AF5"/>
    <w:rsid w:val="00E51BC1"/>
    <w:rsid w:val="00E51DCF"/>
    <w:rsid w:val="00E52093"/>
    <w:rsid w:val="00E521B9"/>
    <w:rsid w:val="00E53113"/>
    <w:rsid w:val="00E53167"/>
    <w:rsid w:val="00E538BD"/>
    <w:rsid w:val="00E54076"/>
    <w:rsid w:val="00E5416B"/>
    <w:rsid w:val="00E5426B"/>
    <w:rsid w:val="00E546E6"/>
    <w:rsid w:val="00E54BF5"/>
    <w:rsid w:val="00E54C9F"/>
    <w:rsid w:val="00E55174"/>
    <w:rsid w:val="00E56082"/>
    <w:rsid w:val="00E567FE"/>
    <w:rsid w:val="00E56AA1"/>
    <w:rsid w:val="00E56F66"/>
    <w:rsid w:val="00E60605"/>
    <w:rsid w:val="00E60AA7"/>
    <w:rsid w:val="00E60E2F"/>
    <w:rsid w:val="00E61335"/>
    <w:rsid w:val="00E615AE"/>
    <w:rsid w:val="00E61C35"/>
    <w:rsid w:val="00E61E9C"/>
    <w:rsid w:val="00E62042"/>
    <w:rsid w:val="00E621C5"/>
    <w:rsid w:val="00E62CA8"/>
    <w:rsid w:val="00E62F9B"/>
    <w:rsid w:val="00E634CC"/>
    <w:rsid w:val="00E643C2"/>
    <w:rsid w:val="00E64C9D"/>
    <w:rsid w:val="00E65011"/>
    <w:rsid w:val="00E65174"/>
    <w:rsid w:val="00E651F5"/>
    <w:rsid w:val="00E65FC5"/>
    <w:rsid w:val="00E662AE"/>
    <w:rsid w:val="00E67640"/>
    <w:rsid w:val="00E6791F"/>
    <w:rsid w:val="00E7017B"/>
    <w:rsid w:val="00E70795"/>
    <w:rsid w:val="00E70A3F"/>
    <w:rsid w:val="00E70ED4"/>
    <w:rsid w:val="00E718AF"/>
    <w:rsid w:val="00E71914"/>
    <w:rsid w:val="00E72023"/>
    <w:rsid w:val="00E72857"/>
    <w:rsid w:val="00E729B5"/>
    <w:rsid w:val="00E73CBF"/>
    <w:rsid w:val="00E73CCC"/>
    <w:rsid w:val="00E73D6F"/>
    <w:rsid w:val="00E73EA2"/>
    <w:rsid w:val="00E7408B"/>
    <w:rsid w:val="00E74D66"/>
    <w:rsid w:val="00E75416"/>
    <w:rsid w:val="00E75557"/>
    <w:rsid w:val="00E75607"/>
    <w:rsid w:val="00E75842"/>
    <w:rsid w:val="00E75895"/>
    <w:rsid w:val="00E763EB"/>
    <w:rsid w:val="00E76812"/>
    <w:rsid w:val="00E76DB3"/>
    <w:rsid w:val="00E7726C"/>
    <w:rsid w:val="00E77CF9"/>
    <w:rsid w:val="00E80191"/>
    <w:rsid w:val="00E803C9"/>
    <w:rsid w:val="00E80AB3"/>
    <w:rsid w:val="00E80E42"/>
    <w:rsid w:val="00E81E5D"/>
    <w:rsid w:val="00E82374"/>
    <w:rsid w:val="00E82527"/>
    <w:rsid w:val="00E8292B"/>
    <w:rsid w:val="00E82C85"/>
    <w:rsid w:val="00E832B5"/>
    <w:rsid w:val="00E833C9"/>
    <w:rsid w:val="00E83AD3"/>
    <w:rsid w:val="00E83F9D"/>
    <w:rsid w:val="00E84011"/>
    <w:rsid w:val="00E84387"/>
    <w:rsid w:val="00E84A8C"/>
    <w:rsid w:val="00E84E64"/>
    <w:rsid w:val="00E84F00"/>
    <w:rsid w:val="00E8546D"/>
    <w:rsid w:val="00E8550A"/>
    <w:rsid w:val="00E8579A"/>
    <w:rsid w:val="00E85990"/>
    <w:rsid w:val="00E85E30"/>
    <w:rsid w:val="00E86F2D"/>
    <w:rsid w:val="00E8721A"/>
    <w:rsid w:val="00E90016"/>
    <w:rsid w:val="00E90081"/>
    <w:rsid w:val="00E9042A"/>
    <w:rsid w:val="00E910F7"/>
    <w:rsid w:val="00E91313"/>
    <w:rsid w:val="00E91789"/>
    <w:rsid w:val="00E918DA"/>
    <w:rsid w:val="00E91F26"/>
    <w:rsid w:val="00E92407"/>
    <w:rsid w:val="00E936CE"/>
    <w:rsid w:val="00E944F9"/>
    <w:rsid w:val="00E946D4"/>
    <w:rsid w:val="00E94807"/>
    <w:rsid w:val="00E94B29"/>
    <w:rsid w:val="00E94F26"/>
    <w:rsid w:val="00E954F1"/>
    <w:rsid w:val="00E958BF"/>
    <w:rsid w:val="00E9596A"/>
    <w:rsid w:val="00E959F3"/>
    <w:rsid w:val="00E960B1"/>
    <w:rsid w:val="00E961D8"/>
    <w:rsid w:val="00E96DD7"/>
    <w:rsid w:val="00E97012"/>
    <w:rsid w:val="00E9715B"/>
    <w:rsid w:val="00E974A9"/>
    <w:rsid w:val="00E97BE9"/>
    <w:rsid w:val="00EA07E9"/>
    <w:rsid w:val="00EA0CC9"/>
    <w:rsid w:val="00EA13EE"/>
    <w:rsid w:val="00EA20A4"/>
    <w:rsid w:val="00EA21E9"/>
    <w:rsid w:val="00EA227E"/>
    <w:rsid w:val="00EA2367"/>
    <w:rsid w:val="00EA2992"/>
    <w:rsid w:val="00EA2D48"/>
    <w:rsid w:val="00EA3142"/>
    <w:rsid w:val="00EA3969"/>
    <w:rsid w:val="00EA413C"/>
    <w:rsid w:val="00EA4839"/>
    <w:rsid w:val="00EA4FEF"/>
    <w:rsid w:val="00EA5739"/>
    <w:rsid w:val="00EA5961"/>
    <w:rsid w:val="00EA6880"/>
    <w:rsid w:val="00EA6CBA"/>
    <w:rsid w:val="00EA6DD8"/>
    <w:rsid w:val="00EA701F"/>
    <w:rsid w:val="00EA7352"/>
    <w:rsid w:val="00EA78D8"/>
    <w:rsid w:val="00EA7DE1"/>
    <w:rsid w:val="00EB022E"/>
    <w:rsid w:val="00EB0B4F"/>
    <w:rsid w:val="00EB16E0"/>
    <w:rsid w:val="00EB1794"/>
    <w:rsid w:val="00EB19BE"/>
    <w:rsid w:val="00EB1F6B"/>
    <w:rsid w:val="00EB254E"/>
    <w:rsid w:val="00EB3345"/>
    <w:rsid w:val="00EB3853"/>
    <w:rsid w:val="00EB407A"/>
    <w:rsid w:val="00EB4190"/>
    <w:rsid w:val="00EB449B"/>
    <w:rsid w:val="00EB45AF"/>
    <w:rsid w:val="00EB4750"/>
    <w:rsid w:val="00EB487C"/>
    <w:rsid w:val="00EB4ADE"/>
    <w:rsid w:val="00EB4C7E"/>
    <w:rsid w:val="00EB4EEA"/>
    <w:rsid w:val="00EB4F80"/>
    <w:rsid w:val="00EB4F84"/>
    <w:rsid w:val="00EB5490"/>
    <w:rsid w:val="00EB5A0E"/>
    <w:rsid w:val="00EB5A3B"/>
    <w:rsid w:val="00EB5CFE"/>
    <w:rsid w:val="00EB6746"/>
    <w:rsid w:val="00EB6CCF"/>
    <w:rsid w:val="00EB6F16"/>
    <w:rsid w:val="00EB770D"/>
    <w:rsid w:val="00EC041E"/>
    <w:rsid w:val="00EC0AED"/>
    <w:rsid w:val="00EC0CA7"/>
    <w:rsid w:val="00EC1240"/>
    <w:rsid w:val="00EC1B43"/>
    <w:rsid w:val="00EC1B58"/>
    <w:rsid w:val="00EC1DFD"/>
    <w:rsid w:val="00EC1EF1"/>
    <w:rsid w:val="00EC2131"/>
    <w:rsid w:val="00EC22F5"/>
    <w:rsid w:val="00EC235B"/>
    <w:rsid w:val="00EC27AE"/>
    <w:rsid w:val="00EC31A2"/>
    <w:rsid w:val="00EC31FF"/>
    <w:rsid w:val="00EC336C"/>
    <w:rsid w:val="00EC3432"/>
    <w:rsid w:val="00EC3835"/>
    <w:rsid w:val="00EC391A"/>
    <w:rsid w:val="00EC39BD"/>
    <w:rsid w:val="00EC41F5"/>
    <w:rsid w:val="00EC4C4A"/>
    <w:rsid w:val="00EC57E3"/>
    <w:rsid w:val="00EC5968"/>
    <w:rsid w:val="00EC73E3"/>
    <w:rsid w:val="00EC7E46"/>
    <w:rsid w:val="00ED1B54"/>
    <w:rsid w:val="00ED27A7"/>
    <w:rsid w:val="00ED2C57"/>
    <w:rsid w:val="00ED2C67"/>
    <w:rsid w:val="00ED2CAA"/>
    <w:rsid w:val="00ED2D3A"/>
    <w:rsid w:val="00ED3FAC"/>
    <w:rsid w:val="00ED4004"/>
    <w:rsid w:val="00ED460D"/>
    <w:rsid w:val="00ED646D"/>
    <w:rsid w:val="00ED7108"/>
    <w:rsid w:val="00ED7268"/>
    <w:rsid w:val="00ED76EF"/>
    <w:rsid w:val="00EE0E92"/>
    <w:rsid w:val="00EE1373"/>
    <w:rsid w:val="00EE1A20"/>
    <w:rsid w:val="00EE1A2C"/>
    <w:rsid w:val="00EE1C92"/>
    <w:rsid w:val="00EE25A0"/>
    <w:rsid w:val="00EE2CFC"/>
    <w:rsid w:val="00EE31FB"/>
    <w:rsid w:val="00EE385B"/>
    <w:rsid w:val="00EE4A55"/>
    <w:rsid w:val="00EE5FFF"/>
    <w:rsid w:val="00EE60CA"/>
    <w:rsid w:val="00EE6E47"/>
    <w:rsid w:val="00EE6E86"/>
    <w:rsid w:val="00EE707C"/>
    <w:rsid w:val="00EE7082"/>
    <w:rsid w:val="00EE72EF"/>
    <w:rsid w:val="00EF048D"/>
    <w:rsid w:val="00EF142C"/>
    <w:rsid w:val="00EF14AC"/>
    <w:rsid w:val="00EF195E"/>
    <w:rsid w:val="00EF1A7D"/>
    <w:rsid w:val="00EF20EB"/>
    <w:rsid w:val="00EF21B9"/>
    <w:rsid w:val="00EF22F2"/>
    <w:rsid w:val="00EF303E"/>
    <w:rsid w:val="00EF3390"/>
    <w:rsid w:val="00EF3971"/>
    <w:rsid w:val="00EF4797"/>
    <w:rsid w:val="00EF47CD"/>
    <w:rsid w:val="00EF4A62"/>
    <w:rsid w:val="00EF4AB9"/>
    <w:rsid w:val="00EF53E9"/>
    <w:rsid w:val="00EF589D"/>
    <w:rsid w:val="00EF58D5"/>
    <w:rsid w:val="00EF5F7C"/>
    <w:rsid w:val="00EF5FB7"/>
    <w:rsid w:val="00EF6FD1"/>
    <w:rsid w:val="00EF76A8"/>
    <w:rsid w:val="00EF7CB1"/>
    <w:rsid w:val="00EF7FA6"/>
    <w:rsid w:val="00F00405"/>
    <w:rsid w:val="00F01634"/>
    <w:rsid w:val="00F016D0"/>
    <w:rsid w:val="00F018ED"/>
    <w:rsid w:val="00F019C7"/>
    <w:rsid w:val="00F01AF9"/>
    <w:rsid w:val="00F01B8B"/>
    <w:rsid w:val="00F01E3A"/>
    <w:rsid w:val="00F02364"/>
    <w:rsid w:val="00F02726"/>
    <w:rsid w:val="00F027CD"/>
    <w:rsid w:val="00F03E33"/>
    <w:rsid w:val="00F03E8E"/>
    <w:rsid w:val="00F044D8"/>
    <w:rsid w:val="00F05352"/>
    <w:rsid w:val="00F056D0"/>
    <w:rsid w:val="00F063CF"/>
    <w:rsid w:val="00F06B9F"/>
    <w:rsid w:val="00F06D83"/>
    <w:rsid w:val="00F06E59"/>
    <w:rsid w:val="00F10442"/>
    <w:rsid w:val="00F1086D"/>
    <w:rsid w:val="00F109B5"/>
    <w:rsid w:val="00F10A84"/>
    <w:rsid w:val="00F119D0"/>
    <w:rsid w:val="00F11ABA"/>
    <w:rsid w:val="00F11D5B"/>
    <w:rsid w:val="00F128EF"/>
    <w:rsid w:val="00F12B32"/>
    <w:rsid w:val="00F12D1C"/>
    <w:rsid w:val="00F133EE"/>
    <w:rsid w:val="00F138BD"/>
    <w:rsid w:val="00F13B78"/>
    <w:rsid w:val="00F13E7D"/>
    <w:rsid w:val="00F13EC3"/>
    <w:rsid w:val="00F14086"/>
    <w:rsid w:val="00F14209"/>
    <w:rsid w:val="00F14549"/>
    <w:rsid w:val="00F15BBD"/>
    <w:rsid w:val="00F15C44"/>
    <w:rsid w:val="00F15F55"/>
    <w:rsid w:val="00F16039"/>
    <w:rsid w:val="00F16990"/>
    <w:rsid w:val="00F17503"/>
    <w:rsid w:val="00F17564"/>
    <w:rsid w:val="00F20DDE"/>
    <w:rsid w:val="00F21CF1"/>
    <w:rsid w:val="00F2227B"/>
    <w:rsid w:val="00F22366"/>
    <w:rsid w:val="00F22D69"/>
    <w:rsid w:val="00F22E43"/>
    <w:rsid w:val="00F23201"/>
    <w:rsid w:val="00F23206"/>
    <w:rsid w:val="00F2322D"/>
    <w:rsid w:val="00F23249"/>
    <w:rsid w:val="00F23596"/>
    <w:rsid w:val="00F235AC"/>
    <w:rsid w:val="00F23B0E"/>
    <w:rsid w:val="00F24511"/>
    <w:rsid w:val="00F2469F"/>
    <w:rsid w:val="00F2582C"/>
    <w:rsid w:val="00F25924"/>
    <w:rsid w:val="00F25B77"/>
    <w:rsid w:val="00F25C8D"/>
    <w:rsid w:val="00F264C1"/>
    <w:rsid w:val="00F267EA"/>
    <w:rsid w:val="00F2699C"/>
    <w:rsid w:val="00F27856"/>
    <w:rsid w:val="00F27A96"/>
    <w:rsid w:val="00F27B2A"/>
    <w:rsid w:val="00F30F33"/>
    <w:rsid w:val="00F318BE"/>
    <w:rsid w:val="00F32191"/>
    <w:rsid w:val="00F32209"/>
    <w:rsid w:val="00F32386"/>
    <w:rsid w:val="00F33980"/>
    <w:rsid w:val="00F342CA"/>
    <w:rsid w:val="00F34478"/>
    <w:rsid w:val="00F3490F"/>
    <w:rsid w:val="00F34F8E"/>
    <w:rsid w:val="00F351E6"/>
    <w:rsid w:val="00F35681"/>
    <w:rsid w:val="00F357E1"/>
    <w:rsid w:val="00F35C10"/>
    <w:rsid w:val="00F36504"/>
    <w:rsid w:val="00F36528"/>
    <w:rsid w:val="00F36A68"/>
    <w:rsid w:val="00F36E51"/>
    <w:rsid w:val="00F3784F"/>
    <w:rsid w:val="00F37D6B"/>
    <w:rsid w:val="00F40045"/>
    <w:rsid w:val="00F402CD"/>
    <w:rsid w:val="00F402CF"/>
    <w:rsid w:val="00F40477"/>
    <w:rsid w:val="00F404C9"/>
    <w:rsid w:val="00F40712"/>
    <w:rsid w:val="00F40A7C"/>
    <w:rsid w:val="00F411F1"/>
    <w:rsid w:val="00F41319"/>
    <w:rsid w:val="00F414C5"/>
    <w:rsid w:val="00F4177F"/>
    <w:rsid w:val="00F423D5"/>
    <w:rsid w:val="00F42A1C"/>
    <w:rsid w:val="00F42D5B"/>
    <w:rsid w:val="00F43277"/>
    <w:rsid w:val="00F434B1"/>
    <w:rsid w:val="00F4361D"/>
    <w:rsid w:val="00F43A39"/>
    <w:rsid w:val="00F43FDB"/>
    <w:rsid w:val="00F441BE"/>
    <w:rsid w:val="00F447F6"/>
    <w:rsid w:val="00F44836"/>
    <w:rsid w:val="00F448AC"/>
    <w:rsid w:val="00F449DE"/>
    <w:rsid w:val="00F45821"/>
    <w:rsid w:val="00F4596F"/>
    <w:rsid w:val="00F45990"/>
    <w:rsid w:val="00F46628"/>
    <w:rsid w:val="00F4663C"/>
    <w:rsid w:val="00F467DC"/>
    <w:rsid w:val="00F46A64"/>
    <w:rsid w:val="00F46D38"/>
    <w:rsid w:val="00F46DA4"/>
    <w:rsid w:val="00F46EA2"/>
    <w:rsid w:val="00F47062"/>
    <w:rsid w:val="00F478DC"/>
    <w:rsid w:val="00F501A9"/>
    <w:rsid w:val="00F502AE"/>
    <w:rsid w:val="00F5144A"/>
    <w:rsid w:val="00F51B7D"/>
    <w:rsid w:val="00F523B3"/>
    <w:rsid w:val="00F52FBB"/>
    <w:rsid w:val="00F53D88"/>
    <w:rsid w:val="00F5571B"/>
    <w:rsid w:val="00F55E70"/>
    <w:rsid w:val="00F55ED2"/>
    <w:rsid w:val="00F5626A"/>
    <w:rsid w:val="00F566DC"/>
    <w:rsid w:val="00F57A45"/>
    <w:rsid w:val="00F57A49"/>
    <w:rsid w:val="00F57BFB"/>
    <w:rsid w:val="00F57D15"/>
    <w:rsid w:val="00F60329"/>
    <w:rsid w:val="00F60681"/>
    <w:rsid w:val="00F60844"/>
    <w:rsid w:val="00F61DA2"/>
    <w:rsid w:val="00F62289"/>
    <w:rsid w:val="00F623D6"/>
    <w:rsid w:val="00F62854"/>
    <w:rsid w:val="00F62B10"/>
    <w:rsid w:val="00F62C2B"/>
    <w:rsid w:val="00F6309C"/>
    <w:rsid w:val="00F6408B"/>
    <w:rsid w:val="00F64D17"/>
    <w:rsid w:val="00F64FA4"/>
    <w:rsid w:val="00F655AB"/>
    <w:rsid w:val="00F65816"/>
    <w:rsid w:val="00F658A5"/>
    <w:rsid w:val="00F65AB0"/>
    <w:rsid w:val="00F66782"/>
    <w:rsid w:val="00F67482"/>
    <w:rsid w:val="00F678B2"/>
    <w:rsid w:val="00F70236"/>
    <w:rsid w:val="00F7036A"/>
    <w:rsid w:val="00F71BB0"/>
    <w:rsid w:val="00F71EE6"/>
    <w:rsid w:val="00F72042"/>
    <w:rsid w:val="00F722AA"/>
    <w:rsid w:val="00F728B3"/>
    <w:rsid w:val="00F72F4D"/>
    <w:rsid w:val="00F7303D"/>
    <w:rsid w:val="00F7318E"/>
    <w:rsid w:val="00F73592"/>
    <w:rsid w:val="00F747E8"/>
    <w:rsid w:val="00F74D43"/>
    <w:rsid w:val="00F74F05"/>
    <w:rsid w:val="00F75205"/>
    <w:rsid w:val="00F75248"/>
    <w:rsid w:val="00F7527B"/>
    <w:rsid w:val="00F75528"/>
    <w:rsid w:val="00F77A20"/>
    <w:rsid w:val="00F77CEF"/>
    <w:rsid w:val="00F806F2"/>
    <w:rsid w:val="00F80C8C"/>
    <w:rsid w:val="00F80D0C"/>
    <w:rsid w:val="00F81784"/>
    <w:rsid w:val="00F81A3C"/>
    <w:rsid w:val="00F81F4F"/>
    <w:rsid w:val="00F8243A"/>
    <w:rsid w:val="00F82470"/>
    <w:rsid w:val="00F82509"/>
    <w:rsid w:val="00F826DE"/>
    <w:rsid w:val="00F826E6"/>
    <w:rsid w:val="00F82932"/>
    <w:rsid w:val="00F82C19"/>
    <w:rsid w:val="00F830BF"/>
    <w:rsid w:val="00F8327C"/>
    <w:rsid w:val="00F833D6"/>
    <w:rsid w:val="00F83A7E"/>
    <w:rsid w:val="00F83BCD"/>
    <w:rsid w:val="00F84438"/>
    <w:rsid w:val="00F84537"/>
    <w:rsid w:val="00F845D8"/>
    <w:rsid w:val="00F84B9E"/>
    <w:rsid w:val="00F8529F"/>
    <w:rsid w:val="00F8575F"/>
    <w:rsid w:val="00F858D8"/>
    <w:rsid w:val="00F85AA7"/>
    <w:rsid w:val="00F863EB"/>
    <w:rsid w:val="00F865F4"/>
    <w:rsid w:val="00F871AA"/>
    <w:rsid w:val="00F872E1"/>
    <w:rsid w:val="00F9073F"/>
    <w:rsid w:val="00F9153F"/>
    <w:rsid w:val="00F91742"/>
    <w:rsid w:val="00F927D1"/>
    <w:rsid w:val="00F927FF"/>
    <w:rsid w:val="00F93470"/>
    <w:rsid w:val="00F93B2D"/>
    <w:rsid w:val="00F93BB4"/>
    <w:rsid w:val="00F94792"/>
    <w:rsid w:val="00F95AC5"/>
    <w:rsid w:val="00F95B6C"/>
    <w:rsid w:val="00F963CC"/>
    <w:rsid w:val="00F96A6B"/>
    <w:rsid w:val="00F96AA0"/>
    <w:rsid w:val="00F96D5E"/>
    <w:rsid w:val="00F977B2"/>
    <w:rsid w:val="00F97D49"/>
    <w:rsid w:val="00F97DA1"/>
    <w:rsid w:val="00FA0613"/>
    <w:rsid w:val="00FA0CE2"/>
    <w:rsid w:val="00FA0FFB"/>
    <w:rsid w:val="00FA2774"/>
    <w:rsid w:val="00FA29D8"/>
    <w:rsid w:val="00FA334A"/>
    <w:rsid w:val="00FA3752"/>
    <w:rsid w:val="00FA3810"/>
    <w:rsid w:val="00FA3B2C"/>
    <w:rsid w:val="00FA4D7B"/>
    <w:rsid w:val="00FA4F92"/>
    <w:rsid w:val="00FA7561"/>
    <w:rsid w:val="00FA7650"/>
    <w:rsid w:val="00FA7805"/>
    <w:rsid w:val="00FA780A"/>
    <w:rsid w:val="00FA7DC3"/>
    <w:rsid w:val="00FA7F3C"/>
    <w:rsid w:val="00FB018E"/>
    <w:rsid w:val="00FB027B"/>
    <w:rsid w:val="00FB0F15"/>
    <w:rsid w:val="00FB10AA"/>
    <w:rsid w:val="00FB1843"/>
    <w:rsid w:val="00FB18C9"/>
    <w:rsid w:val="00FB1BCD"/>
    <w:rsid w:val="00FB242D"/>
    <w:rsid w:val="00FB37AE"/>
    <w:rsid w:val="00FB384F"/>
    <w:rsid w:val="00FB396D"/>
    <w:rsid w:val="00FB43D5"/>
    <w:rsid w:val="00FB4A0C"/>
    <w:rsid w:val="00FB4B60"/>
    <w:rsid w:val="00FB4B94"/>
    <w:rsid w:val="00FB511D"/>
    <w:rsid w:val="00FB542F"/>
    <w:rsid w:val="00FB5545"/>
    <w:rsid w:val="00FB6AB7"/>
    <w:rsid w:val="00FB6B47"/>
    <w:rsid w:val="00FB6C76"/>
    <w:rsid w:val="00FB75B7"/>
    <w:rsid w:val="00FB7DD3"/>
    <w:rsid w:val="00FB7EF9"/>
    <w:rsid w:val="00FC080A"/>
    <w:rsid w:val="00FC0931"/>
    <w:rsid w:val="00FC0970"/>
    <w:rsid w:val="00FC0D89"/>
    <w:rsid w:val="00FC2AE5"/>
    <w:rsid w:val="00FC34FE"/>
    <w:rsid w:val="00FC3A58"/>
    <w:rsid w:val="00FC3DF7"/>
    <w:rsid w:val="00FC48B4"/>
    <w:rsid w:val="00FC4B2E"/>
    <w:rsid w:val="00FC59A9"/>
    <w:rsid w:val="00FC5C82"/>
    <w:rsid w:val="00FC6C40"/>
    <w:rsid w:val="00FC6F1E"/>
    <w:rsid w:val="00FC6FA2"/>
    <w:rsid w:val="00FC7714"/>
    <w:rsid w:val="00FC7AA7"/>
    <w:rsid w:val="00FC7BA4"/>
    <w:rsid w:val="00FD04AC"/>
    <w:rsid w:val="00FD0E19"/>
    <w:rsid w:val="00FD115E"/>
    <w:rsid w:val="00FD172A"/>
    <w:rsid w:val="00FD1FEE"/>
    <w:rsid w:val="00FD3622"/>
    <w:rsid w:val="00FD3BA2"/>
    <w:rsid w:val="00FD551A"/>
    <w:rsid w:val="00FD5671"/>
    <w:rsid w:val="00FD56DA"/>
    <w:rsid w:val="00FD5A9F"/>
    <w:rsid w:val="00FD6C36"/>
    <w:rsid w:val="00FD6E1A"/>
    <w:rsid w:val="00FD7359"/>
    <w:rsid w:val="00FE0C35"/>
    <w:rsid w:val="00FE101F"/>
    <w:rsid w:val="00FE13C8"/>
    <w:rsid w:val="00FE15A0"/>
    <w:rsid w:val="00FE15ED"/>
    <w:rsid w:val="00FE171F"/>
    <w:rsid w:val="00FE2091"/>
    <w:rsid w:val="00FE2D5B"/>
    <w:rsid w:val="00FE40E6"/>
    <w:rsid w:val="00FE4866"/>
    <w:rsid w:val="00FE4937"/>
    <w:rsid w:val="00FE4E03"/>
    <w:rsid w:val="00FE5318"/>
    <w:rsid w:val="00FE6C59"/>
    <w:rsid w:val="00FE6DD3"/>
    <w:rsid w:val="00FE76B7"/>
    <w:rsid w:val="00FE7935"/>
    <w:rsid w:val="00FF0B4D"/>
    <w:rsid w:val="00FF1082"/>
    <w:rsid w:val="00FF139B"/>
    <w:rsid w:val="00FF2112"/>
    <w:rsid w:val="00FF42E9"/>
    <w:rsid w:val="00FF487A"/>
    <w:rsid w:val="00FF51EE"/>
    <w:rsid w:val="00FF56B7"/>
    <w:rsid w:val="00FF5751"/>
    <w:rsid w:val="00FF5866"/>
    <w:rsid w:val="00FF5A05"/>
    <w:rsid w:val="00FF6078"/>
    <w:rsid w:val="00FF78C0"/>
    <w:rsid w:val="00FF79A1"/>
    <w:rsid w:val="013A608C"/>
    <w:rsid w:val="030DF528"/>
    <w:rsid w:val="05568790"/>
    <w:rsid w:val="057FAEEB"/>
    <w:rsid w:val="07165663"/>
    <w:rsid w:val="074A93B4"/>
    <w:rsid w:val="08525ADB"/>
    <w:rsid w:val="08FFAF50"/>
    <w:rsid w:val="0995ECCD"/>
    <w:rsid w:val="09983271"/>
    <w:rsid w:val="0B13716A"/>
    <w:rsid w:val="0B7F091E"/>
    <w:rsid w:val="0BC7D2B0"/>
    <w:rsid w:val="0BF806E6"/>
    <w:rsid w:val="0CD29BE8"/>
    <w:rsid w:val="0D29A072"/>
    <w:rsid w:val="0E21046C"/>
    <w:rsid w:val="0EA0A7BC"/>
    <w:rsid w:val="0EAA46C2"/>
    <w:rsid w:val="0F0D68D4"/>
    <w:rsid w:val="0F90521D"/>
    <w:rsid w:val="0FEC05F4"/>
    <w:rsid w:val="11F389FF"/>
    <w:rsid w:val="15757C83"/>
    <w:rsid w:val="16257777"/>
    <w:rsid w:val="16D8BFDC"/>
    <w:rsid w:val="17705224"/>
    <w:rsid w:val="17ACCB39"/>
    <w:rsid w:val="1ABE10A5"/>
    <w:rsid w:val="1BCB95AA"/>
    <w:rsid w:val="1C51ED1B"/>
    <w:rsid w:val="1D031A64"/>
    <w:rsid w:val="1F2E0144"/>
    <w:rsid w:val="2044C3C8"/>
    <w:rsid w:val="20642873"/>
    <w:rsid w:val="21FEFCB5"/>
    <w:rsid w:val="22F95E82"/>
    <w:rsid w:val="243D9A55"/>
    <w:rsid w:val="25BD632C"/>
    <w:rsid w:val="2635117E"/>
    <w:rsid w:val="295A41E1"/>
    <w:rsid w:val="29B607E3"/>
    <w:rsid w:val="29E9C300"/>
    <w:rsid w:val="2A337444"/>
    <w:rsid w:val="2AEDC4AB"/>
    <w:rsid w:val="2BA7D739"/>
    <w:rsid w:val="2BBDD472"/>
    <w:rsid w:val="2DEC1CAC"/>
    <w:rsid w:val="2E13390F"/>
    <w:rsid w:val="2F9C20CC"/>
    <w:rsid w:val="2FC48737"/>
    <w:rsid w:val="300F0037"/>
    <w:rsid w:val="30BC2696"/>
    <w:rsid w:val="30BEADB6"/>
    <w:rsid w:val="31AAD098"/>
    <w:rsid w:val="31B8FA6C"/>
    <w:rsid w:val="33E43C4D"/>
    <w:rsid w:val="34691E63"/>
    <w:rsid w:val="3557407F"/>
    <w:rsid w:val="36C94227"/>
    <w:rsid w:val="36E98DC1"/>
    <w:rsid w:val="372238AA"/>
    <w:rsid w:val="39A5D59B"/>
    <w:rsid w:val="3A96B961"/>
    <w:rsid w:val="3ADC646E"/>
    <w:rsid w:val="3B1D10D2"/>
    <w:rsid w:val="3B2C50C2"/>
    <w:rsid w:val="3B2C689B"/>
    <w:rsid w:val="3B46B455"/>
    <w:rsid w:val="3C969D5B"/>
    <w:rsid w:val="3C98888A"/>
    <w:rsid w:val="3CC838FC"/>
    <w:rsid w:val="3E47719E"/>
    <w:rsid w:val="3F1F8331"/>
    <w:rsid w:val="40B1F42E"/>
    <w:rsid w:val="411FC587"/>
    <w:rsid w:val="4201DD34"/>
    <w:rsid w:val="4320FF7A"/>
    <w:rsid w:val="434CF847"/>
    <w:rsid w:val="43DE0C05"/>
    <w:rsid w:val="444422F5"/>
    <w:rsid w:val="44B44DDA"/>
    <w:rsid w:val="44D8F56C"/>
    <w:rsid w:val="45431ACF"/>
    <w:rsid w:val="4552A653"/>
    <w:rsid w:val="474C008A"/>
    <w:rsid w:val="47560485"/>
    <w:rsid w:val="4770BD72"/>
    <w:rsid w:val="48D72A8F"/>
    <w:rsid w:val="496E96A0"/>
    <w:rsid w:val="4AAFFFA0"/>
    <w:rsid w:val="4C61D5E9"/>
    <w:rsid w:val="4C6B5908"/>
    <w:rsid w:val="4CA8DFEF"/>
    <w:rsid w:val="4CAD83DC"/>
    <w:rsid w:val="4CADBD44"/>
    <w:rsid w:val="4DA08418"/>
    <w:rsid w:val="4FCA162D"/>
    <w:rsid w:val="52AC045F"/>
    <w:rsid w:val="530CFC3D"/>
    <w:rsid w:val="5544C583"/>
    <w:rsid w:val="55578F46"/>
    <w:rsid w:val="56958BAA"/>
    <w:rsid w:val="56D0F8DE"/>
    <w:rsid w:val="56F4F540"/>
    <w:rsid w:val="573F4702"/>
    <w:rsid w:val="5A9B7CEE"/>
    <w:rsid w:val="5C5D06B3"/>
    <w:rsid w:val="5E9733AA"/>
    <w:rsid w:val="5F539332"/>
    <w:rsid w:val="5FB97C3B"/>
    <w:rsid w:val="609FEA4B"/>
    <w:rsid w:val="60C7F292"/>
    <w:rsid w:val="622995A7"/>
    <w:rsid w:val="6321A167"/>
    <w:rsid w:val="636689AA"/>
    <w:rsid w:val="64508908"/>
    <w:rsid w:val="648457E2"/>
    <w:rsid w:val="64B49CA1"/>
    <w:rsid w:val="65245D6D"/>
    <w:rsid w:val="66E02A31"/>
    <w:rsid w:val="6721D476"/>
    <w:rsid w:val="68476D2C"/>
    <w:rsid w:val="688D3266"/>
    <w:rsid w:val="68BDA4D7"/>
    <w:rsid w:val="68DF0ECF"/>
    <w:rsid w:val="6912819B"/>
    <w:rsid w:val="6B0D94F5"/>
    <w:rsid w:val="6B602042"/>
    <w:rsid w:val="6CD24D20"/>
    <w:rsid w:val="6D5912D5"/>
    <w:rsid w:val="6DD01C25"/>
    <w:rsid w:val="6E3F4F6B"/>
    <w:rsid w:val="6E4A4410"/>
    <w:rsid w:val="6EE3A5B6"/>
    <w:rsid w:val="6F5D231C"/>
    <w:rsid w:val="702213D8"/>
    <w:rsid w:val="702A0E46"/>
    <w:rsid w:val="71ED9364"/>
    <w:rsid w:val="7359DF61"/>
    <w:rsid w:val="738963C5"/>
    <w:rsid w:val="7412A61B"/>
    <w:rsid w:val="745882FE"/>
    <w:rsid w:val="74BA81B3"/>
    <w:rsid w:val="74D12D6F"/>
    <w:rsid w:val="75E616CD"/>
    <w:rsid w:val="76B683C9"/>
    <w:rsid w:val="76E06932"/>
    <w:rsid w:val="771A1997"/>
    <w:rsid w:val="772FD8E4"/>
    <w:rsid w:val="78305238"/>
    <w:rsid w:val="78804870"/>
    <w:rsid w:val="7D3AEF74"/>
    <w:rsid w:val="7D620E6E"/>
    <w:rsid w:val="7D64858B"/>
    <w:rsid w:val="7F4C3D47"/>
    <w:rsid w:val="7F5D4648"/>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1508C89"/>
  <w15:docId w15:val="{6796ACEB-EE5F-4BE4-B1DE-152544B9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4C2C"/>
    <w:pPr>
      <w:jc w:val="both"/>
    </w:pPr>
    <w:rPr>
      <w:rFonts w:ascii="Arial" w:hAnsi="Arial"/>
      <w:sz w:val="16"/>
      <w:szCs w:val="18"/>
      <w:lang w:val="es-ES_tradnl" w:eastAsia="es-CO"/>
    </w:rPr>
  </w:style>
  <w:style w:type="paragraph" w:styleId="Ttulo1">
    <w:name w:val="heading 1"/>
    <w:basedOn w:val="Normal"/>
    <w:next w:val="Normal"/>
    <w:qFormat/>
    <w:rsid w:val="00B373B9"/>
    <w:pPr>
      <w:keepNext/>
      <w:numPr>
        <w:numId w:val="6"/>
      </w:numPr>
      <w:jc w:val="left"/>
      <w:outlineLvl w:val="0"/>
    </w:pPr>
    <w:rPr>
      <w:b/>
      <w:bCs/>
      <w:caps/>
      <w:szCs w:val="24"/>
      <w:lang w:val="es-ES" w:eastAsia="es-ES"/>
    </w:rPr>
  </w:style>
  <w:style w:type="paragraph" w:styleId="Ttulo2">
    <w:name w:val="heading 2"/>
    <w:basedOn w:val="Normal"/>
    <w:next w:val="Normal"/>
    <w:link w:val="Ttulo2Car"/>
    <w:qFormat/>
    <w:rsid w:val="009B0777"/>
    <w:pPr>
      <w:numPr>
        <w:ilvl w:val="1"/>
        <w:numId w:val="6"/>
      </w:numPr>
      <w:outlineLvl w:val="1"/>
    </w:pPr>
    <w:rPr>
      <w:b/>
      <w:lang w:eastAsia="es-ES"/>
    </w:rPr>
  </w:style>
  <w:style w:type="paragraph" w:styleId="Ttulo3">
    <w:name w:val="heading 3"/>
    <w:basedOn w:val="Normal"/>
    <w:next w:val="Normal"/>
    <w:link w:val="Ttulo3Car"/>
    <w:qFormat/>
    <w:rsid w:val="009B0777"/>
    <w:pPr>
      <w:numPr>
        <w:ilvl w:val="2"/>
        <w:numId w:val="6"/>
      </w:numPr>
      <w:ind w:left="0"/>
      <w:outlineLvl w:val="2"/>
    </w:pPr>
    <w:rPr>
      <w:bCs/>
      <w:iCs/>
      <w:color w:val="000000" w:themeColor="text1"/>
      <w:szCs w:val="24"/>
      <w:lang w:val="es-ES" w:eastAsia="es-ES"/>
    </w:rPr>
  </w:style>
  <w:style w:type="paragraph" w:styleId="Ttulo4">
    <w:name w:val="heading 4"/>
    <w:basedOn w:val="Normal"/>
    <w:next w:val="Normal"/>
    <w:link w:val="Ttulo4Car"/>
    <w:qFormat/>
    <w:rsid w:val="009B0777"/>
    <w:pPr>
      <w:numPr>
        <w:ilvl w:val="3"/>
        <w:numId w:val="6"/>
      </w:numPr>
      <w:outlineLvl w:val="3"/>
    </w:pPr>
    <w:rPr>
      <w:lang w:eastAsia="es-ES"/>
    </w:rPr>
  </w:style>
  <w:style w:type="paragraph" w:styleId="Ttulo5">
    <w:name w:val="heading 5"/>
    <w:basedOn w:val="Normal"/>
    <w:next w:val="Normal"/>
    <w:link w:val="Ttulo5Car"/>
    <w:qFormat/>
    <w:rsid w:val="009B0777"/>
    <w:pPr>
      <w:numPr>
        <w:ilvl w:val="4"/>
        <w:numId w:val="6"/>
      </w:numPr>
      <w:outlineLvl w:val="4"/>
    </w:pPr>
    <w:rPr>
      <w:lang w:eastAsia="es-ES"/>
    </w:rPr>
  </w:style>
  <w:style w:type="paragraph" w:styleId="Ttulo6">
    <w:name w:val="heading 6"/>
    <w:basedOn w:val="Normal"/>
    <w:next w:val="Normal"/>
    <w:qFormat/>
    <w:rsid w:val="009B0777"/>
    <w:pPr>
      <w:numPr>
        <w:ilvl w:val="5"/>
        <w:numId w:val="6"/>
      </w:numPr>
      <w:outlineLvl w:val="5"/>
    </w:pPr>
    <w:rPr>
      <w:lang w:eastAsia="es-ES"/>
    </w:rPr>
  </w:style>
  <w:style w:type="paragraph" w:styleId="Ttulo7">
    <w:name w:val="heading 7"/>
    <w:basedOn w:val="Normal"/>
    <w:next w:val="Normal"/>
    <w:qFormat/>
    <w:rsid w:val="009B0777"/>
    <w:pPr>
      <w:numPr>
        <w:ilvl w:val="6"/>
        <w:numId w:val="6"/>
      </w:numPr>
      <w:outlineLvl w:val="6"/>
    </w:pPr>
    <w:rPr>
      <w:lang w:eastAsia="es-ES"/>
    </w:rPr>
  </w:style>
  <w:style w:type="paragraph" w:styleId="Ttulo8">
    <w:name w:val="heading 8"/>
    <w:basedOn w:val="Normal"/>
    <w:next w:val="Normal"/>
    <w:qFormat/>
    <w:rsid w:val="009B0777"/>
    <w:pPr>
      <w:numPr>
        <w:ilvl w:val="7"/>
        <w:numId w:val="6"/>
      </w:numPr>
      <w:outlineLvl w:val="7"/>
    </w:pPr>
    <w:rPr>
      <w:lang w:eastAsia="es-ES"/>
    </w:rPr>
  </w:style>
  <w:style w:type="paragraph" w:styleId="Ttulo9">
    <w:name w:val="heading 9"/>
    <w:basedOn w:val="Normal"/>
    <w:next w:val="Normal"/>
    <w:qFormat/>
    <w:rsid w:val="009B0777"/>
    <w:pPr>
      <w:numPr>
        <w:ilvl w:val="8"/>
        <w:numId w:val="6"/>
      </w:numPr>
      <w:outlineLvl w:val="8"/>
    </w:pPr>
    <w:rPr>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01E96"/>
    <w:pPr>
      <w:tabs>
        <w:tab w:val="center" w:pos="4252"/>
        <w:tab w:val="right" w:pos="8504"/>
      </w:tabs>
    </w:pPr>
  </w:style>
  <w:style w:type="character" w:styleId="Nmerodepgina">
    <w:name w:val="page number"/>
    <w:basedOn w:val="Fuentedeprrafopredeter"/>
    <w:uiPriority w:val="99"/>
    <w:rsid w:val="00801E96"/>
  </w:style>
  <w:style w:type="numbering" w:styleId="1ai">
    <w:name w:val="Outline List 1"/>
    <w:basedOn w:val="Sinlista"/>
    <w:rsid w:val="00801E96"/>
    <w:pPr>
      <w:numPr>
        <w:numId w:val="1"/>
      </w:numPr>
    </w:pPr>
  </w:style>
  <w:style w:type="paragraph" w:styleId="Piedepgina">
    <w:name w:val="footer"/>
    <w:basedOn w:val="Normal"/>
    <w:link w:val="PiedepginaCar"/>
    <w:uiPriority w:val="99"/>
    <w:rsid w:val="00801E96"/>
    <w:pPr>
      <w:tabs>
        <w:tab w:val="center" w:pos="4252"/>
        <w:tab w:val="right" w:pos="8504"/>
      </w:tabs>
    </w:pPr>
  </w:style>
  <w:style w:type="paragraph" w:styleId="Textodeglobo">
    <w:name w:val="Balloon Text"/>
    <w:basedOn w:val="Normal"/>
    <w:semiHidden/>
    <w:rsid w:val="00801E96"/>
    <w:rPr>
      <w:rFonts w:ascii="Tahoma" w:hAnsi="Tahoma" w:cs="Tahoma"/>
      <w:szCs w:val="16"/>
    </w:rPr>
  </w:style>
  <w:style w:type="paragraph" w:styleId="Textoindependiente2">
    <w:name w:val="Body Text 2"/>
    <w:basedOn w:val="Normal"/>
    <w:rsid w:val="00821E99"/>
    <w:pPr>
      <w:jc w:val="left"/>
    </w:pPr>
    <w:rPr>
      <w:rFonts w:ascii="Times New Roman" w:hAnsi="Times New Roman"/>
      <w:color w:val="0000FF"/>
      <w:sz w:val="20"/>
      <w:szCs w:val="24"/>
      <w:lang w:val="es-ES" w:eastAsia="es-ES"/>
    </w:rPr>
  </w:style>
  <w:style w:type="paragraph" w:styleId="Textoindependiente3">
    <w:name w:val="Body Text 3"/>
    <w:basedOn w:val="Normal"/>
    <w:rsid w:val="00821E99"/>
    <w:rPr>
      <w:rFonts w:ascii="Times New Roman" w:hAnsi="Times New Roman"/>
      <w:i/>
      <w:iCs/>
      <w:color w:val="0000FF"/>
      <w:sz w:val="26"/>
      <w:szCs w:val="24"/>
      <w:lang w:val="es-ES" w:eastAsia="es-ES"/>
    </w:rPr>
  </w:style>
  <w:style w:type="paragraph" w:styleId="Textoindependiente">
    <w:name w:val="Body Text"/>
    <w:basedOn w:val="Normal"/>
    <w:link w:val="TextoindependienteCar"/>
    <w:rsid w:val="00821F42"/>
    <w:pPr>
      <w:spacing w:after="120"/>
    </w:pPr>
  </w:style>
  <w:style w:type="character" w:styleId="Hipervnculo">
    <w:name w:val="Hyperlink"/>
    <w:uiPriority w:val="99"/>
    <w:rsid w:val="00821F42"/>
    <w:rPr>
      <w:color w:val="6633CC"/>
      <w:u w:val="single"/>
    </w:rPr>
  </w:style>
  <w:style w:type="table" w:styleId="Tablaconcuadrcula">
    <w:name w:val="Table Grid"/>
    <w:basedOn w:val="Tablanormal"/>
    <w:rsid w:val="0082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9F3E1E"/>
  </w:style>
  <w:style w:type="paragraph" w:customStyle="1" w:styleId="BodyText21">
    <w:name w:val="Body Text 21"/>
    <w:basedOn w:val="Normal"/>
    <w:rsid w:val="009F3E1E"/>
    <w:rPr>
      <w:b/>
    </w:rPr>
  </w:style>
  <w:style w:type="paragraph" w:customStyle="1" w:styleId="BodyText22">
    <w:name w:val="Body Text 22"/>
    <w:basedOn w:val="Normal"/>
    <w:rsid w:val="009F3E1E"/>
    <w:rPr>
      <w:spacing w:val="20"/>
    </w:rPr>
  </w:style>
  <w:style w:type="paragraph" w:styleId="Sangradetextonormal">
    <w:name w:val="Body Text Indent"/>
    <w:basedOn w:val="Normal"/>
    <w:rsid w:val="009F3E1E"/>
    <w:pPr>
      <w:tabs>
        <w:tab w:val="left" w:pos="851"/>
      </w:tabs>
    </w:pPr>
    <w:rPr>
      <w:lang w:eastAsia="es-ES"/>
    </w:rPr>
  </w:style>
  <w:style w:type="paragraph" w:customStyle="1" w:styleId="BodyText31">
    <w:name w:val="Body Text 31"/>
    <w:basedOn w:val="Normal"/>
    <w:rsid w:val="009F3E1E"/>
    <w:pPr>
      <w:pBdr>
        <w:left w:val="single" w:sz="6" w:space="4" w:color="auto"/>
      </w:pBdr>
    </w:pPr>
    <w:rPr>
      <w:b/>
      <w:spacing w:val="20"/>
    </w:rPr>
  </w:style>
  <w:style w:type="paragraph" w:styleId="Ttulo">
    <w:name w:val="Title"/>
    <w:basedOn w:val="Normal"/>
    <w:qFormat/>
    <w:rsid w:val="009F3E1E"/>
    <w:pPr>
      <w:tabs>
        <w:tab w:val="left" w:pos="8505"/>
      </w:tabs>
      <w:ind w:right="51"/>
      <w:jc w:val="center"/>
    </w:pPr>
    <w:rPr>
      <w:rFonts w:ascii="AvantGarde Bk BT" w:hAnsi="AvantGarde Bk BT"/>
      <w:sz w:val="28"/>
      <w:lang w:val="es-CO"/>
    </w:rPr>
  </w:style>
  <w:style w:type="paragraph" w:customStyle="1" w:styleId="cuerpodetexto">
    <w:name w:val="cuerpodetexto"/>
    <w:basedOn w:val="Normal"/>
    <w:rsid w:val="00EA3142"/>
    <w:pPr>
      <w:spacing w:before="100" w:beforeAutospacing="1" w:after="100" w:afterAutospacing="1"/>
      <w:jc w:val="left"/>
    </w:pPr>
    <w:rPr>
      <w:rFonts w:ascii="Times New Roman" w:hAnsi="Times New Roman"/>
      <w:sz w:val="24"/>
      <w:szCs w:val="24"/>
      <w:lang w:val="es-ES" w:eastAsia="es-ES"/>
    </w:rPr>
  </w:style>
  <w:style w:type="paragraph" w:styleId="Textocomentario">
    <w:name w:val="annotation text"/>
    <w:basedOn w:val="Normal"/>
    <w:link w:val="TextocomentarioCar"/>
    <w:semiHidden/>
    <w:rsid w:val="00727F8D"/>
    <w:rPr>
      <w:sz w:val="20"/>
    </w:rPr>
  </w:style>
  <w:style w:type="character" w:customStyle="1" w:styleId="EncabezadoCar">
    <w:name w:val="Encabezado Car"/>
    <w:link w:val="Encabezado"/>
    <w:uiPriority w:val="99"/>
    <w:rsid w:val="00175441"/>
    <w:rPr>
      <w:rFonts w:ascii="Arial" w:hAnsi="Arial"/>
      <w:sz w:val="18"/>
      <w:lang w:val="es-ES_tradnl" w:eastAsia="es-CO"/>
    </w:rPr>
  </w:style>
  <w:style w:type="character" w:customStyle="1" w:styleId="PiedepginaCar">
    <w:name w:val="Pie de página Car"/>
    <w:link w:val="Piedepgina"/>
    <w:uiPriority w:val="99"/>
    <w:locked/>
    <w:rsid w:val="008635E2"/>
    <w:rPr>
      <w:rFonts w:ascii="Arial" w:hAnsi="Arial"/>
      <w:sz w:val="18"/>
      <w:lang w:val="es-ES_tradnl"/>
    </w:rPr>
  </w:style>
  <w:style w:type="paragraph" w:customStyle="1" w:styleId="Listaoscura-nfasis51">
    <w:name w:val="Lista oscura - Énfasis 51"/>
    <w:basedOn w:val="Normal"/>
    <w:uiPriority w:val="99"/>
    <w:qFormat/>
    <w:rsid w:val="008635E2"/>
    <w:pPr>
      <w:ind w:left="708"/>
    </w:pPr>
  </w:style>
  <w:style w:type="paragraph" w:styleId="Textonotapie">
    <w:name w:val="footnote text"/>
    <w:basedOn w:val="Normal"/>
    <w:link w:val="TextonotapieCar"/>
    <w:uiPriority w:val="99"/>
    <w:rsid w:val="00EC3835"/>
    <w:pPr>
      <w:autoSpaceDE w:val="0"/>
      <w:autoSpaceDN w:val="0"/>
      <w:jc w:val="left"/>
    </w:pPr>
    <w:rPr>
      <w:rFonts w:ascii="Arial (W1)" w:hAnsi="Arial (W1)"/>
      <w:sz w:val="20"/>
      <w:lang w:val="es-ES"/>
    </w:rPr>
  </w:style>
  <w:style w:type="character" w:customStyle="1" w:styleId="TextonotapieCar">
    <w:name w:val="Texto nota pie Car"/>
    <w:link w:val="Textonotapie"/>
    <w:uiPriority w:val="99"/>
    <w:rsid w:val="00EC3835"/>
    <w:rPr>
      <w:rFonts w:ascii="Arial (W1)" w:hAnsi="Arial (W1)" w:cs="Arial"/>
      <w:lang w:val="es-ES"/>
    </w:rPr>
  </w:style>
  <w:style w:type="character" w:styleId="Refdenotaalpie">
    <w:name w:val="footnote reference"/>
    <w:uiPriority w:val="99"/>
    <w:rsid w:val="00EC3835"/>
    <w:rPr>
      <w:rFonts w:cs="Times New Roman"/>
      <w:vertAlign w:val="superscript"/>
    </w:rPr>
  </w:style>
  <w:style w:type="paragraph" w:styleId="NormalWeb">
    <w:name w:val="Normal (Web)"/>
    <w:basedOn w:val="Normal"/>
    <w:uiPriority w:val="99"/>
    <w:rsid w:val="00DA1D10"/>
    <w:pPr>
      <w:spacing w:before="100" w:beforeAutospacing="1" w:after="100" w:afterAutospacing="1"/>
      <w:jc w:val="left"/>
    </w:pPr>
    <w:rPr>
      <w:rFonts w:ascii="Times New Roman" w:hAnsi="Times New Roman"/>
      <w:color w:val="663300"/>
      <w:sz w:val="24"/>
      <w:szCs w:val="24"/>
      <w:lang w:val="es-CO"/>
    </w:rPr>
  </w:style>
  <w:style w:type="paragraph" w:customStyle="1" w:styleId="ListParagraph2">
    <w:name w:val="List Paragraph2"/>
    <w:basedOn w:val="Normal"/>
    <w:rsid w:val="00DA1D10"/>
    <w:pPr>
      <w:ind w:left="720"/>
      <w:contextualSpacing/>
      <w:jc w:val="left"/>
    </w:pPr>
    <w:rPr>
      <w:rFonts w:ascii="Times New Roman" w:hAnsi="Times New Roman"/>
      <w:sz w:val="24"/>
      <w:szCs w:val="24"/>
      <w:lang w:val="es-ES" w:eastAsia="es-ES"/>
    </w:rPr>
  </w:style>
  <w:style w:type="character" w:customStyle="1" w:styleId="TextocomentarioCar">
    <w:name w:val="Texto comentario Car"/>
    <w:link w:val="Textocomentario"/>
    <w:semiHidden/>
    <w:rsid w:val="00F830BF"/>
    <w:rPr>
      <w:rFonts w:ascii="Arial" w:hAnsi="Arial"/>
      <w:lang w:val="es-ES_tradnl"/>
    </w:rPr>
  </w:style>
  <w:style w:type="paragraph" w:customStyle="1" w:styleId="ListParagraph1">
    <w:name w:val="List Paragraph1"/>
    <w:basedOn w:val="Normal"/>
    <w:uiPriority w:val="99"/>
    <w:rsid w:val="00F45821"/>
    <w:pPr>
      <w:pBdr>
        <w:left w:val="single" w:sz="4" w:space="1" w:color="auto"/>
      </w:pBdr>
      <w:ind w:left="720"/>
      <w:contextualSpacing/>
    </w:pPr>
    <w:rPr>
      <w:rFonts w:cs="Arial"/>
      <w:b/>
      <w:sz w:val="20"/>
      <w:lang w:val="es-ES" w:eastAsia="en-US"/>
    </w:rPr>
  </w:style>
  <w:style w:type="character" w:styleId="Refdecomentario">
    <w:name w:val="annotation reference"/>
    <w:uiPriority w:val="99"/>
    <w:rsid w:val="00A22454"/>
    <w:rPr>
      <w:rFonts w:cs="Times New Roman"/>
      <w:sz w:val="16"/>
      <w:szCs w:val="16"/>
    </w:rPr>
  </w:style>
  <w:style w:type="paragraph" w:styleId="Mapadeldocumento">
    <w:name w:val="Document Map"/>
    <w:basedOn w:val="Normal"/>
    <w:link w:val="MapadeldocumentoCar"/>
    <w:rsid w:val="00807ADB"/>
    <w:rPr>
      <w:rFonts w:ascii="Lucida Grande" w:hAnsi="Lucida Grande"/>
      <w:sz w:val="24"/>
      <w:szCs w:val="24"/>
    </w:rPr>
  </w:style>
  <w:style w:type="character" w:customStyle="1" w:styleId="MapadeldocumentoCar">
    <w:name w:val="Mapa del documento Car"/>
    <w:link w:val="Mapadeldocumento"/>
    <w:rsid w:val="00807ADB"/>
    <w:rPr>
      <w:rFonts w:ascii="Lucida Grande" w:hAnsi="Lucida Grande" w:cs="Lucida Grande"/>
      <w:sz w:val="24"/>
      <w:szCs w:val="24"/>
      <w:lang w:eastAsia="es-CO"/>
    </w:rPr>
  </w:style>
  <w:style w:type="paragraph" w:customStyle="1" w:styleId="Cuadrculamediana3-nfasis51">
    <w:name w:val="Cuadrícula mediana 3 - Énfasis 51"/>
    <w:hidden/>
    <w:uiPriority w:val="71"/>
    <w:rsid w:val="00B53BB7"/>
    <w:rPr>
      <w:rFonts w:ascii="Arial" w:hAnsi="Arial"/>
      <w:sz w:val="18"/>
      <w:lang w:val="es-ES_tradnl" w:eastAsia="es-CO"/>
    </w:rPr>
  </w:style>
  <w:style w:type="paragraph" w:styleId="Asuntodelcomentario">
    <w:name w:val="annotation subject"/>
    <w:basedOn w:val="Textocomentario"/>
    <w:next w:val="Textocomentario"/>
    <w:link w:val="AsuntodelcomentarioCar"/>
    <w:rsid w:val="00115D14"/>
    <w:rPr>
      <w:b/>
      <w:bCs/>
    </w:rPr>
  </w:style>
  <w:style w:type="character" w:customStyle="1" w:styleId="AsuntodelcomentarioCar">
    <w:name w:val="Asunto del comentario Car"/>
    <w:link w:val="Asuntodelcomentario"/>
    <w:rsid w:val="00115D14"/>
    <w:rPr>
      <w:rFonts w:ascii="Arial" w:hAnsi="Arial"/>
      <w:b/>
      <w:bCs/>
      <w:lang w:val="es-ES_tradnl" w:eastAsia="es-CO"/>
    </w:rPr>
  </w:style>
  <w:style w:type="paragraph" w:customStyle="1" w:styleId="Default">
    <w:name w:val="Default"/>
    <w:rsid w:val="004A3B80"/>
    <w:pPr>
      <w:autoSpaceDE w:val="0"/>
      <w:autoSpaceDN w:val="0"/>
      <w:adjustRightInd w:val="0"/>
    </w:pPr>
    <w:rPr>
      <w:rFonts w:ascii="Arial" w:hAnsi="Arial" w:cs="Arial"/>
      <w:color w:val="000000"/>
      <w:sz w:val="24"/>
      <w:szCs w:val="24"/>
      <w:lang w:val="es-CO" w:eastAsia="es-CO"/>
    </w:rPr>
  </w:style>
  <w:style w:type="paragraph" w:customStyle="1" w:styleId="Listaoscura-nfasis31">
    <w:name w:val="Lista oscura - Énfasis 31"/>
    <w:hidden/>
    <w:uiPriority w:val="71"/>
    <w:rsid w:val="00A56EB8"/>
    <w:rPr>
      <w:rFonts w:ascii="Arial" w:hAnsi="Arial"/>
      <w:sz w:val="18"/>
      <w:lang w:val="es-ES_tradnl" w:eastAsia="es-CO"/>
    </w:rPr>
  </w:style>
  <w:style w:type="paragraph" w:customStyle="1" w:styleId="Encabezadodetabladecontenido">
    <w:name w:val="Encabezado de tabla de contenido"/>
    <w:basedOn w:val="Ttulo1"/>
    <w:next w:val="Normal"/>
    <w:uiPriority w:val="39"/>
    <w:qFormat/>
    <w:rsid w:val="003C0C1E"/>
    <w:pPr>
      <w:keepLines/>
      <w:spacing w:before="480" w:line="276" w:lineRule="auto"/>
      <w:outlineLvl w:val="9"/>
    </w:pPr>
    <w:rPr>
      <w:rFonts w:ascii="Cambria" w:hAnsi="Cambria"/>
      <w:caps w:val="0"/>
      <w:color w:val="365F91"/>
      <w:sz w:val="28"/>
      <w:szCs w:val="28"/>
      <w:lang w:val="es-CO" w:eastAsia="es-CO"/>
    </w:rPr>
  </w:style>
  <w:style w:type="paragraph" w:styleId="TDC1">
    <w:name w:val="toc 1"/>
    <w:basedOn w:val="Normal"/>
    <w:next w:val="Normal"/>
    <w:autoRedefine/>
    <w:uiPriority w:val="39"/>
    <w:rsid w:val="00756470"/>
    <w:pPr>
      <w:tabs>
        <w:tab w:val="right" w:leader="dot" w:pos="8830"/>
      </w:tabs>
      <w:jc w:val="left"/>
    </w:pPr>
    <w:rPr>
      <w:b/>
      <w:bCs/>
      <w:noProof/>
      <w:szCs w:val="16"/>
      <w:lang w:val="es-ES"/>
    </w:rPr>
  </w:style>
  <w:style w:type="paragraph" w:styleId="TDC2">
    <w:name w:val="toc 2"/>
    <w:basedOn w:val="Normal"/>
    <w:next w:val="Normal"/>
    <w:autoRedefine/>
    <w:uiPriority w:val="39"/>
    <w:rsid w:val="00CA6613"/>
    <w:pPr>
      <w:tabs>
        <w:tab w:val="right" w:leader="dot" w:pos="8830"/>
      </w:tabs>
      <w:jc w:val="left"/>
    </w:pPr>
    <w:rPr>
      <w:iCs/>
    </w:rPr>
  </w:style>
  <w:style w:type="paragraph" w:styleId="TDC3">
    <w:name w:val="toc 3"/>
    <w:basedOn w:val="Normal"/>
    <w:next w:val="Normal"/>
    <w:autoRedefine/>
    <w:rsid w:val="003C0C1E"/>
    <w:pPr>
      <w:ind w:left="360"/>
      <w:jc w:val="left"/>
    </w:pPr>
    <w:rPr>
      <w:rFonts w:ascii="Calibri" w:hAnsi="Calibri"/>
      <w:sz w:val="20"/>
    </w:rPr>
  </w:style>
  <w:style w:type="paragraph" w:styleId="TDC4">
    <w:name w:val="toc 4"/>
    <w:basedOn w:val="Normal"/>
    <w:next w:val="Normal"/>
    <w:autoRedefine/>
    <w:rsid w:val="003C0C1E"/>
    <w:pPr>
      <w:ind w:left="540"/>
      <w:jc w:val="left"/>
    </w:pPr>
    <w:rPr>
      <w:rFonts w:ascii="Calibri" w:hAnsi="Calibri"/>
      <w:sz w:val="20"/>
    </w:rPr>
  </w:style>
  <w:style w:type="paragraph" w:styleId="TDC5">
    <w:name w:val="toc 5"/>
    <w:basedOn w:val="Normal"/>
    <w:next w:val="Normal"/>
    <w:autoRedefine/>
    <w:rsid w:val="003C0C1E"/>
    <w:pPr>
      <w:ind w:left="720"/>
      <w:jc w:val="left"/>
    </w:pPr>
    <w:rPr>
      <w:rFonts w:ascii="Calibri" w:hAnsi="Calibri"/>
      <w:sz w:val="20"/>
    </w:rPr>
  </w:style>
  <w:style w:type="paragraph" w:styleId="TDC6">
    <w:name w:val="toc 6"/>
    <w:basedOn w:val="Normal"/>
    <w:next w:val="Normal"/>
    <w:autoRedefine/>
    <w:rsid w:val="003C0C1E"/>
    <w:pPr>
      <w:ind w:left="900"/>
      <w:jc w:val="left"/>
    </w:pPr>
    <w:rPr>
      <w:rFonts w:ascii="Calibri" w:hAnsi="Calibri"/>
      <w:sz w:val="20"/>
    </w:rPr>
  </w:style>
  <w:style w:type="paragraph" w:styleId="TDC7">
    <w:name w:val="toc 7"/>
    <w:basedOn w:val="Normal"/>
    <w:next w:val="Normal"/>
    <w:autoRedefine/>
    <w:rsid w:val="003C0C1E"/>
    <w:pPr>
      <w:ind w:left="1080"/>
      <w:jc w:val="left"/>
    </w:pPr>
    <w:rPr>
      <w:rFonts w:ascii="Calibri" w:hAnsi="Calibri"/>
      <w:sz w:val="20"/>
    </w:rPr>
  </w:style>
  <w:style w:type="paragraph" w:styleId="TDC8">
    <w:name w:val="toc 8"/>
    <w:basedOn w:val="Normal"/>
    <w:next w:val="Normal"/>
    <w:autoRedefine/>
    <w:rsid w:val="003C0C1E"/>
    <w:pPr>
      <w:ind w:left="1260"/>
      <w:jc w:val="left"/>
    </w:pPr>
    <w:rPr>
      <w:rFonts w:ascii="Calibri" w:hAnsi="Calibri"/>
      <w:sz w:val="20"/>
    </w:rPr>
  </w:style>
  <w:style w:type="paragraph" w:styleId="TDC9">
    <w:name w:val="toc 9"/>
    <w:basedOn w:val="Normal"/>
    <w:next w:val="Normal"/>
    <w:autoRedefine/>
    <w:rsid w:val="003C0C1E"/>
    <w:pPr>
      <w:ind w:left="1440"/>
      <w:jc w:val="left"/>
    </w:pPr>
    <w:rPr>
      <w:rFonts w:ascii="Calibri" w:hAnsi="Calibri"/>
      <w:sz w:val="20"/>
    </w:rPr>
  </w:style>
  <w:style w:type="paragraph" w:customStyle="1" w:styleId="Encabezadodetabladecontenido1">
    <w:name w:val="Encabezado de tabla de contenido1"/>
    <w:basedOn w:val="Ttulo1"/>
    <w:next w:val="Normal"/>
    <w:uiPriority w:val="99"/>
    <w:semiHidden/>
    <w:rsid w:val="004D164C"/>
    <w:pPr>
      <w:keepLines/>
      <w:spacing w:before="480" w:line="276" w:lineRule="auto"/>
      <w:outlineLvl w:val="9"/>
    </w:pPr>
    <w:rPr>
      <w:rFonts w:ascii="Cambria" w:eastAsia="MS Mincho" w:hAnsi="Cambria"/>
      <w:caps w:val="0"/>
      <w:color w:val="365F91"/>
      <w:sz w:val="28"/>
      <w:szCs w:val="28"/>
      <w:lang w:val="es-CO"/>
    </w:rPr>
  </w:style>
  <w:style w:type="paragraph" w:styleId="Prrafodelista">
    <w:name w:val="List Paragraph"/>
    <w:basedOn w:val="Normal"/>
    <w:uiPriority w:val="99"/>
    <w:qFormat/>
    <w:rsid w:val="00223167"/>
    <w:pPr>
      <w:ind w:left="720"/>
      <w:contextualSpacing/>
    </w:pPr>
  </w:style>
  <w:style w:type="paragraph" w:styleId="Revisin">
    <w:name w:val="Revision"/>
    <w:hidden/>
    <w:uiPriority w:val="71"/>
    <w:semiHidden/>
    <w:rsid w:val="00CA46B7"/>
    <w:rPr>
      <w:rFonts w:ascii="Arial" w:hAnsi="Arial"/>
      <w:sz w:val="18"/>
      <w:lang w:val="es-ES_tradnl" w:eastAsia="es-CO"/>
    </w:rPr>
  </w:style>
  <w:style w:type="character" w:customStyle="1" w:styleId="DeltaViewInsertion">
    <w:name w:val="DeltaView Insertion"/>
    <w:uiPriority w:val="99"/>
    <w:rsid w:val="0007586F"/>
    <w:rPr>
      <w:color w:val="0000FF"/>
      <w:u w:val="double"/>
    </w:rPr>
  </w:style>
  <w:style w:type="character" w:customStyle="1" w:styleId="TextoindependienteCar">
    <w:name w:val="Texto independiente Car"/>
    <w:link w:val="Textoindependiente"/>
    <w:rsid w:val="006C6DC7"/>
    <w:rPr>
      <w:rFonts w:ascii="Arial" w:hAnsi="Arial"/>
      <w:sz w:val="16"/>
      <w:szCs w:val="18"/>
      <w:lang w:val="es-ES_tradnl" w:eastAsia="es-CO"/>
    </w:rPr>
  </w:style>
  <w:style w:type="character" w:customStyle="1" w:styleId="Ttulo2Car">
    <w:name w:val="Título 2 Car"/>
    <w:basedOn w:val="Fuentedeprrafopredeter"/>
    <w:link w:val="Ttulo2"/>
    <w:rsid w:val="00347C23"/>
    <w:rPr>
      <w:rFonts w:ascii="Arial" w:hAnsi="Arial"/>
      <w:b/>
      <w:sz w:val="16"/>
      <w:szCs w:val="18"/>
      <w:lang w:val="es-ES_tradnl" w:eastAsia="es-ES"/>
    </w:rPr>
  </w:style>
  <w:style w:type="character" w:customStyle="1" w:styleId="Ttulo3Car">
    <w:name w:val="Título 3 Car"/>
    <w:basedOn w:val="Fuentedeprrafopredeter"/>
    <w:link w:val="Ttulo3"/>
    <w:rsid w:val="00347C23"/>
    <w:rPr>
      <w:rFonts w:ascii="Arial" w:hAnsi="Arial"/>
      <w:bCs/>
      <w:iCs/>
      <w:color w:val="000000" w:themeColor="text1"/>
      <w:sz w:val="16"/>
      <w:szCs w:val="24"/>
      <w:lang w:val="es-ES" w:eastAsia="es-ES"/>
    </w:rPr>
  </w:style>
  <w:style w:type="character" w:customStyle="1" w:styleId="Ttulo4Car">
    <w:name w:val="Título 4 Car"/>
    <w:basedOn w:val="Fuentedeprrafopredeter"/>
    <w:link w:val="Ttulo4"/>
    <w:rsid w:val="00347C23"/>
    <w:rPr>
      <w:rFonts w:ascii="Arial" w:hAnsi="Arial"/>
      <w:sz w:val="16"/>
      <w:szCs w:val="18"/>
      <w:lang w:val="es-ES_tradnl" w:eastAsia="es-ES"/>
    </w:rPr>
  </w:style>
  <w:style w:type="character" w:customStyle="1" w:styleId="Ttulo5Car">
    <w:name w:val="Título 5 Car"/>
    <w:basedOn w:val="Fuentedeprrafopredeter"/>
    <w:link w:val="Ttulo5"/>
    <w:rsid w:val="00347C23"/>
    <w:rPr>
      <w:rFonts w:ascii="Arial" w:hAnsi="Arial"/>
      <w:sz w:val="16"/>
      <w:szCs w:val="1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650429">
      <w:bodyDiv w:val="1"/>
      <w:marLeft w:val="0"/>
      <w:marRight w:val="0"/>
      <w:marTop w:val="0"/>
      <w:marBottom w:val="0"/>
      <w:divBdr>
        <w:top w:val="none" w:sz="0" w:space="0" w:color="auto"/>
        <w:left w:val="none" w:sz="0" w:space="0" w:color="auto"/>
        <w:bottom w:val="none" w:sz="0" w:space="0" w:color="auto"/>
        <w:right w:val="none" w:sz="0" w:space="0" w:color="auto"/>
      </w:divBdr>
    </w:div>
    <w:div w:id="378479530">
      <w:bodyDiv w:val="1"/>
      <w:marLeft w:val="0"/>
      <w:marRight w:val="0"/>
      <w:marTop w:val="0"/>
      <w:marBottom w:val="0"/>
      <w:divBdr>
        <w:top w:val="none" w:sz="0" w:space="0" w:color="auto"/>
        <w:left w:val="none" w:sz="0" w:space="0" w:color="auto"/>
        <w:bottom w:val="none" w:sz="0" w:space="0" w:color="auto"/>
        <w:right w:val="none" w:sz="0" w:space="0" w:color="auto"/>
      </w:divBdr>
      <w:divsChild>
        <w:div w:id="308097034">
          <w:marLeft w:val="0"/>
          <w:marRight w:val="0"/>
          <w:marTop w:val="0"/>
          <w:marBottom w:val="0"/>
          <w:divBdr>
            <w:top w:val="none" w:sz="0" w:space="0" w:color="auto"/>
            <w:left w:val="none" w:sz="0" w:space="0" w:color="auto"/>
            <w:bottom w:val="none" w:sz="0" w:space="0" w:color="auto"/>
            <w:right w:val="none" w:sz="0" w:space="0" w:color="auto"/>
          </w:divBdr>
          <w:divsChild>
            <w:div w:id="444932606">
              <w:marLeft w:val="0"/>
              <w:marRight w:val="0"/>
              <w:marTop w:val="0"/>
              <w:marBottom w:val="0"/>
              <w:divBdr>
                <w:top w:val="none" w:sz="0" w:space="0" w:color="auto"/>
                <w:left w:val="none" w:sz="0" w:space="0" w:color="auto"/>
                <w:bottom w:val="none" w:sz="0" w:space="0" w:color="auto"/>
                <w:right w:val="none" w:sz="0" w:space="0" w:color="auto"/>
              </w:divBdr>
              <w:divsChild>
                <w:div w:id="847450741">
                  <w:marLeft w:val="0"/>
                  <w:marRight w:val="0"/>
                  <w:marTop w:val="0"/>
                  <w:marBottom w:val="0"/>
                  <w:divBdr>
                    <w:top w:val="none" w:sz="0" w:space="0" w:color="auto"/>
                    <w:left w:val="none" w:sz="0" w:space="0" w:color="auto"/>
                    <w:bottom w:val="none" w:sz="0" w:space="0" w:color="auto"/>
                    <w:right w:val="none" w:sz="0" w:space="0" w:color="auto"/>
                  </w:divBdr>
                  <w:divsChild>
                    <w:div w:id="470440964">
                      <w:marLeft w:val="0"/>
                      <w:marRight w:val="0"/>
                      <w:marTop w:val="0"/>
                      <w:marBottom w:val="0"/>
                      <w:divBdr>
                        <w:top w:val="none" w:sz="0" w:space="0" w:color="auto"/>
                        <w:left w:val="none" w:sz="0" w:space="0" w:color="auto"/>
                        <w:bottom w:val="none" w:sz="0" w:space="0" w:color="auto"/>
                        <w:right w:val="none" w:sz="0" w:space="0" w:color="auto"/>
                      </w:divBdr>
                      <w:divsChild>
                        <w:div w:id="131564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24608">
                  <w:marLeft w:val="0"/>
                  <w:marRight w:val="0"/>
                  <w:marTop w:val="0"/>
                  <w:marBottom w:val="0"/>
                  <w:divBdr>
                    <w:top w:val="none" w:sz="0" w:space="0" w:color="auto"/>
                    <w:left w:val="none" w:sz="0" w:space="0" w:color="auto"/>
                    <w:bottom w:val="none" w:sz="0" w:space="0" w:color="auto"/>
                    <w:right w:val="none" w:sz="0" w:space="0" w:color="auto"/>
                  </w:divBdr>
                  <w:divsChild>
                    <w:div w:id="627513001">
                      <w:marLeft w:val="0"/>
                      <w:marRight w:val="0"/>
                      <w:marTop w:val="0"/>
                      <w:marBottom w:val="0"/>
                      <w:divBdr>
                        <w:top w:val="none" w:sz="0" w:space="0" w:color="auto"/>
                        <w:left w:val="none" w:sz="0" w:space="0" w:color="auto"/>
                        <w:bottom w:val="none" w:sz="0" w:space="0" w:color="auto"/>
                        <w:right w:val="none" w:sz="0" w:space="0" w:color="auto"/>
                      </w:divBdr>
                      <w:divsChild>
                        <w:div w:id="39624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9935282">
      <w:bodyDiv w:val="1"/>
      <w:marLeft w:val="0"/>
      <w:marRight w:val="0"/>
      <w:marTop w:val="0"/>
      <w:marBottom w:val="0"/>
      <w:divBdr>
        <w:top w:val="none" w:sz="0" w:space="0" w:color="auto"/>
        <w:left w:val="none" w:sz="0" w:space="0" w:color="auto"/>
        <w:bottom w:val="none" w:sz="0" w:space="0" w:color="auto"/>
        <w:right w:val="none" w:sz="0" w:space="0" w:color="auto"/>
      </w:divBdr>
    </w:div>
    <w:div w:id="645427929">
      <w:bodyDiv w:val="1"/>
      <w:marLeft w:val="0"/>
      <w:marRight w:val="0"/>
      <w:marTop w:val="0"/>
      <w:marBottom w:val="0"/>
      <w:divBdr>
        <w:top w:val="none" w:sz="0" w:space="0" w:color="auto"/>
        <w:left w:val="none" w:sz="0" w:space="0" w:color="auto"/>
        <w:bottom w:val="none" w:sz="0" w:space="0" w:color="auto"/>
        <w:right w:val="none" w:sz="0" w:space="0" w:color="auto"/>
      </w:divBdr>
      <w:divsChild>
        <w:div w:id="2067220906">
          <w:marLeft w:val="0"/>
          <w:marRight w:val="0"/>
          <w:marTop w:val="0"/>
          <w:marBottom w:val="0"/>
          <w:divBdr>
            <w:top w:val="none" w:sz="0" w:space="0" w:color="auto"/>
            <w:left w:val="none" w:sz="0" w:space="0" w:color="auto"/>
            <w:bottom w:val="none" w:sz="0" w:space="0" w:color="auto"/>
            <w:right w:val="none" w:sz="0" w:space="0" w:color="auto"/>
          </w:divBdr>
          <w:divsChild>
            <w:div w:id="604387782">
              <w:marLeft w:val="0"/>
              <w:marRight w:val="0"/>
              <w:marTop w:val="0"/>
              <w:marBottom w:val="0"/>
              <w:divBdr>
                <w:top w:val="none" w:sz="0" w:space="0" w:color="auto"/>
                <w:left w:val="none" w:sz="0" w:space="0" w:color="auto"/>
                <w:bottom w:val="none" w:sz="0" w:space="0" w:color="auto"/>
                <w:right w:val="none" w:sz="0" w:space="0" w:color="auto"/>
              </w:divBdr>
              <w:divsChild>
                <w:div w:id="534465245">
                  <w:marLeft w:val="0"/>
                  <w:marRight w:val="0"/>
                  <w:marTop w:val="0"/>
                  <w:marBottom w:val="0"/>
                  <w:divBdr>
                    <w:top w:val="none" w:sz="0" w:space="0" w:color="auto"/>
                    <w:left w:val="none" w:sz="0" w:space="0" w:color="auto"/>
                    <w:bottom w:val="none" w:sz="0" w:space="0" w:color="auto"/>
                    <w:right w:val="none" w:sz="0" w:space="0" w:color="auto"/>
                  </w:divBdr>
                  <w:divsChild>
                    <w:div w:id="218250198">
                      <w:marLeft w:val="0"/>
                      <w:marRight w:val="0"/>
                      <w:marTop w:val="0"/>
                      <w:marBottom w:val="0"/>
                      <w:divBdr>
                        <w:top w:val="none" w:sz="0" w:space="0" w:color="auto"/>
                        <w:left w:val="none" w:sz="0" w:space="0" w:color="auto"/>
                        <w:bottom w:val="none" w:sz="0" w:space="0" w:color="auto"/>
                        <w:right w:val="none" w:sz="0" w:space="0" w:color="auto"/>
                      </w:divBdr>
                      <w:divsChild>
                        <w:div w:id="139544611">
                          <w:marLeft w:val="0"/>
                          <w:marRight w:val="0"/>
                          <w:marTop w:val="0"/>
                          <w:marBottom w:val="0"/>
                          <w:divBdr>
                            <w:top w:val="none" w:sz="0" w:space="0" w:color="auto"/>
                            <w:left w:val="none" w:sz="0" w:space="0" w:color="auto"/>
                            <w:bottom w:val="none" w:sz="0" w:space="0" w:color="auto"/>
                            <w:right w:val="none" w:sz="0" w:space="0" w:color="auto"/>
                          </w:divBdr>
                          <w:divsChild>
                            <w:div w:id="114065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3117704">
      <w:bodyDiv w:val="1"/>
      <w:marLeft w:val="0"/>
      <w:marRight w:val="0"/>
      <w:marTop w:val="0"/>
      <w:marBottom w:val="0"/>
      <w:divBdr>
        <w:top w:val="none" w:sz="0" w:space="0" w:color="auto"/>
        <w:left w:val="none" w:sz="0" w:space="0" w:color="auto"/>
        <w:bottom w:val="none" w:sz="0" w:space="0" w:color="auto"/>
        <w:right w:val="none" w:sz="0" w:space="0" w:color="auto"/>
      </w:divBdr>
    </w:div>
    <w:div w:id="1051538348">
      <w:bodyDiv w:val="1"/>
      <w:marLeft w:val="0"/>
      <w:marRight w:val="0"/>
      <w:marTop w:val="0"/>
      <w:marBottom w:val="0"/>
      <w:divBdr>
        <w:top w:val="none" w:sz="0" w:space="0" w:color="auto"/>
        <w:left w:val="none" w:sz="0" w:space="0" w:color="auto"/>
        <w:bottom w:val="none" w:sz="0" w:space="0" w:color="auto"/>
        <w:right w:val="none" w:sz="0" w:space="0" w:color="auto"/>
      </w:divBdr>
    </w:div>
    <w:div w:id="1077898360">
      <w:bodyDiv w:val="1"/>
      <w:marLeft w:val="0"/>
      <w:marRight w:val="0"/>
      <w:marTop w:val="0"/>
      <w:marBottom w:val="0"/>
      <w:divBdr>
        <w:top w:val="none" w:sz="0" w:space="0" w:color="auto"/>
        <w:left w:val="none" w:sz="0" w:space="0" w:color="auto"/>
        <w:bottom w:val="none" w:sz="0" w:space="0" w:color="auto"/>
        <w:right w:val="none" w:sz="0" w:space="0" w:color="auto"/>
      </w:divBdr>
    </w:div>
    <w:div w:id="1176114009">
      <w:bodyDiv w:val="1"/>
      <w:marLeft w:val="0"/>
      <w:marRight w:val="0"/>
      <w:marTop w:val="0"/>
      <w:marBottom w:val="0"/>
      <w:divBdr>
        <w:top w:val="none" w:sz="0" w:space="0" w:color="auto"/>
        <w:left w:val="none" w:sz="0" w:space="0" w:color="auto"/>
        <w:bottom w:val="none" w:sz="0" w:space="0" w:color="auto"/>
        <w:right w:val="none" w:sz="0" w:space="0" w:color="auto"/>
      </w:divBdr>
    </w:div>
    <w:div w:id="1236429414">
      <w:bodyDiv w:val="1"/>
      <w:marLeft w:val="0"/>
      <w:marRight w:val="0"/>
      <w:marTop w:val="0"/>
      <w:marBottom w:val="0"/>
      <w:divBdr>
        <w:top w:val="none" w:sz="0" w:space="0" w:color="auto"/>
        <w:left w:val="none" w:sz="0" w:space="0" w:color="auto"/>
        <w:bottom w:val="none" w:sz="0" w:space="0" w:color="auto"/>
        <w:right w:val="none" w:sz="0" w:space="0" w:color="auto"/>
      </w:divBdr>
    </w:div>
    <w:div w:id="1266621917">
      <w:bodyDiv w:val="1"/>
      <w:marLeft w:val="0"/>
      <w:marRight w:val="0"/>
      <w:marTop w:val="0"/>
      <w:marBottom w:val="0"/>
      <w:divBdr>
        <w:top w:val="none" w:sz="0" w:space="0" w:color="auto"/>
        <w:left w:val="none" w:sz="0" w:space="0" w:color="auto"/>
        <w:bottom w:val="none" w:sz="0" w:space="0" w:color="auto"/>
        <w:right w:val="none" w:sz="0" w:space="0" w:color="auto"/>
      </w:divBdr>
    </w:div>
    <w:div w:id="1391075098">
      <w:bodyDiv w:val="1"/>
      <w:marLeft w:val="0"/>
      <w:marRight w:val="0"/>
      <w:marTop w:val="0"/>
      <w:marBottom w:val="0"/>
      <w:divBdr>
        <w:top w:val="none" w:sz="0" w:space="0" w:color="auto"/>
        <w:left w:val="none" w:sz="0" w:space="0" w:color="auto"/>
        <w:bottom w:val="none" w:sz="0" w:space="0" w:color="auto"/>
        <w:right w:val="none" w:sz="0" w:space="0" w:color="auto"/>
      </w:divBdr>
    </w:div>
    <w:div w:id="1563982126">
      <w:bodyDiv w:val="1"/>
      <w:marLeft w:val="0"/>
      <w:marRight w:val="0"/>
      <w:marTop w:val="0"/>
      <w:marBottom w:val="0"/>
      <w:divBdr>
        <w:top w:val="none" w:sz="0" w:space="0" w:color="auto"/>
        <w:left w:val="none" w:sz="0" w:space="0" w:color="auto"/>
        <w:bottom w:val="none" w:sz="0" w:space="0" w:color="auto"/>
        <w:right w:val="none" w:sz="0" w:space="0" w:color="auto"/>
      </w:divBdr>
    </w:div>
    <w:div w:id="1620144911">
      <w:bodyDiv w:val="1"/>
      <w:marLeft w:val="0"/>
      <w:marRight w:val="0"/>
      <w:marTop w:val="0"/>
      <w:marBottom w:val="0"/>
      <w:divBdr>
        <w:top w:val="none" w:sz="0" w:space="0" w:color="auto"/>
        <w:left w:val="none" w:sz="0" w:space="0" w:color="auto"/>
        <w:bottom w:val="none" w:sz="0" w:space="0" w:color="auto"/>
        <w:right w:val="none" w:sz="0" w:space="0" w:color="auto"/>
      </w:divBdr>
    </w:div>
    <w:div w:id="1751730077">
      <w:bodyDiv w:val="1"/>
      <w:marLeft w:val="0"/>
      <w:marRight w:val="0"/>
      <w:marTop w:val="0"/>
      <w:marBottom w:val="0"/>
      <w:divBdr>
        <w:top w:val="none" w:sz="0" w:space="0" w:color="auto"/>
        <w:left w:val="none" w:sz="0" w:space="0" w:color="auto"/>
        <w:bottom w:val="none" w:sz="0" w:space="0" w:color="auto"/>
        <w:right w:val="none" w:sz="0" w:space="0" w:color="auto"/>
      </w:divBdr>
    </w:div>
    <w:div w:id="1773166666">
      <w:bodyDiv w:val="1"/>
      <w:marLeft w:val="0"/>
      <w:marRight w:val="0"/>
      <w:marTop w:val="0"/>
      <w:marBottom w:val="0"/>
      <w:divBdr>
        <w:top w:val="none" w:sz="0" w:space="0" w:color="auto"/>
        <w:left w:val="none" w:sz="0" w:space="0" w:color="auto"/>
        <w:bottom w:val="none" w:sz="0" w:space="0" w:color="auto"/>
        <w:right w:val="none" w:sz="0" w:space="0" w:color="auto"/>
      </w:divBdr>
    </w:div>
    <w:div w:id="1809392491">
      <w:bodyDiv w:val="1"/>
      <w:marLeft w:val="0"/>
      <w:marRight w:val="0"/>
      <w:marTop w:val="0"/>
      <w:marBottom w:val="0"/>
      <w:divBdr>
        <w:top w:val="none" w:sz="0" w:space="0" w:color="auto"/>
        <w:left w:val="none" w:sz="0" w:space="0" w:color="auto"/>
        <w:bottom w:val="none" w:sz="0" w:space="0" w:color="auto"/>
        <w:right w:val="none" w:sz="0" w:space="0" w:color="auto"/>
      </w:divBdr>
    </w:div>
    <w:div w:id="1954434003">
      <w:bodyDiv w:val="1"/>
      <w:marLeft w:val="0"/>
      <w:marRight w:val="0"/>
      <w:marTop w:val="0"/>
      <w:marBottom w:val="0"/>
      <w:divBdr>
        <w:top w:val="none" w:sz="0" w:space="0" w:color="auto"/>
        <w:left w:val="none" w:sz="0" w:space="0" w:color="auto"/>
        <w:bottom w:val="none" w:sz="0" w:space="0" w:color="auto"/>
        <w:right w:val="none" w:sz="0" w:space="0" w:color="auto"/>
      </w:divBdr>
    </w:div>
    <w:div w:id="211459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71A94B2A6F124097B73DC7037F8A53" ma:contentTypeVersion="8" ma:contentTypeDescription="Create a new document." ma:contentTypeScope="" ma:versionID="1e8bbdf4164d280dca9dbdc47c860f33">
  <xsd:schema xmlns:xsd="http://www.w3.org/2001/XMLSchema" xmlns:xs="http://www.w3.org/2001/XMLSchema" xmlns:p="http://schemas.microsoft.com/office/2006/metadata/properties" xmlns:ns2="aeefa014-0642-44e1-be92-64648ad07d09" xmlns:ns3="8a5321c4-a212-4a08-9009-4a0d20160ba0" targetNamespace="http://schemas.microsoft.com/office/2006/metadata/properties" ma:root="true" ma:fieldsID="f5446dfe87a8300a2cb9dbf81b53c0dc" ns2:_="" ns3:_="">
    <xsd:import namespace="aeefa014-0642-44e1-be92-64648ad07d09"/>
    <xsd:import namespace="8a5321c4-a212-4a08-9009-4a0d20160b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efa014-0642-44e1-be92-64648ad07d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5321c4-a212-4a08-9009-4a0d20160ba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D156D-E980-4D4A-8691-2422FA418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efa014-0642-44e1-be92-64648ad07d09"/>
    <ds:schemaRef ds:uri="8a5321c4-a212-4a08-9009-4a0d20160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499671-14A6-4C83-9835-63911C6C1F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C7AB00-7415-43D1-A7C1-134746383D4E}">
  <ds:schemaRefs>
    <ds:schemaRef ds:uri="http://schemas.microsoft.com/sharepoint/v3/contenttype/forms"/>
  </ds:schemaRefs>
</ds:datastoreItem>
</file>

<file path=customXml/itemProps4.xml><?xml version="1.0" encoding="utf-8"?>
<ds:datastoreItem xmlns:ds="http://schemas.openxmlformats.org/officeDocument/2006/customXml" ds:itemID="{B34215C2-5AD8-49CB-977F-E4B020CFB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6084</Words>
  <Characters>34637</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Título Cuarto</vt:lpstr>
    </vt:vector>
  </TitlesOfParts>
  <Company>Superintedencia Bancaria de Colombia</Company>
  <LinksUpToDate>false</LinksUpToDate>
  <CharactersWithSpaces>40640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 Cuarto</dc:title>
  <dc:subject/>
  <dc:creator>mepajaro</dc:creator>
  <cp:keywords/>
  <cp:lastModifiedBy>Gabriel Armando Ospina Garcia</cp:lastModifiedBy>
  <cp:revision>4</cp:revision>
  <cp:lastPrinted>2006-12-23T13:53:00Z</cp:lastPrinted>
  <dcterms:created xsi:type="dcterms:W3CDTF">2021-05-10T23:45:00Z</dcterms:created>
  <dcterms:modified xsi:type="dcterms:W3CDTF">2021-05-11T00:31:00Z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0x0101000471A94B2A6F124097B73DC7037F8A53</vt:lpwstr>
  </property>
</Properties>
</file>